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971D" w14:textId="16A6F42A" w:rsidR="003C37A8" w:rsidRDefault="001244E1" w:rsidP="00190BCC">
      <w:pPr>
        <w:pStyle w:val="TitreChapitre"/>
        <w:numPr>
          <w:ilvl w:val="0"/>
          <w:numId w:val="11"/>
        </w:numPr>
        <w:jc w:val="center"/>
      </w:pPr>
      <w:r>
        <w:t>Actualités patrimoniales - p</w:t>
      </w:r>
      <w:r w:rsidR="00F10EEB">
        <w:t>rincipales évolutions législatives et réglementaires récentes</w:t>
      </w:r>
    </w:p>
    <w:p w14:paraId="56CE8A35" w14:textId="7A94B7A0" w:rsidR="00BC4CFC" w:rsidRDefault="00BC4CFC" w:rsidP="00BC4CFC">
      <w:pPr>
        <w:pStyle w:val="CorpsTexte"/>
      </w:pPr>
      <w:r>
        <w:t>Nous vous proposons ci-après une synthèse des principales évolutions législatives et réglementaires récentes. Précisions pour faciliter votre lecture :</w:t>
      </w:r>
    </w:p>
    <w:p w14:paraId="1DF1A296" w14:textId="703FB34D" w:rsidR="00407912" w:rsidRPr="00BC4CFC" w:rsidRDefault="00407912" w:rsidP="00BC4CFC">
      <w:pPr>
        <w:pStyle w:val="TexteEntete"/>
        <w:numPr>
          <w:ilvl w:val="0"/>
          <w:numId w:val="37"/>
        </w:numPr>
        <w:rPr>
          <w:sz w:val="21"/>
        </w:rPr>
      </w:pPr>
      <w:r w:rsidRPr="00BC4CFC">
        <w:rPr>
          <w:sz w:val="21"/>
        </w:rPr>
        <w:t>LF 2023 signifie Loi de finances pour 2023</w:t>
      </w:r>
    </w:p>
    <w:p w14:paraId="14767EE5" w14:textId="13F0B80C" w:rsidR="00407912" w:rsidRPr="00BC4CFC" w:rsidRDefault="00407912" w:rsidP="00BC4CFC">
      <w:pPr>
        <w:pStyle w:val="TexteEntete"/>
        <w:numPr>
          <w:ilvl w:val="0"/>
          <w:numId w:val="37"/>
        </w:numPr>
        <w:rPr>
          <w:sz w:val="21"/>
        </w:rPr>
      </w:pPr>
      <w:r w:rsidRPr="00BC4CFC">
        <w:rPr>
          <w:sz w:val="21"/>
        </w:rPr>
        <w:t>2</w:t>
      </w:r>
      <w:r w:rsidRPr="00F52D49">
        <w:rPr>
          <w:sz w:val="21"/>
          <w:vertAlign w:val="superscript"/>
        </w:rPr>
        <w:t>nd</w:t>
      </w:r>
      <w:r w:rsidRPr="00BC4CFC">
        <w:rPr>
          <w:sz w:val="21"/>
        </w:rPr>
        <w:t xml:space="preserve"> LFR 2022 signifie </w:t>
      </w:r>
      <w:r w:rsidR="00F52D49">
        <w:rPr>
          <w:sz w:val="21"/>
        </w:rPr>
        <w:t>s</w:t>
      </w:r>
      <w:r w:rsidRPr="00BC4CFC">
        <w:rPr>
          <w:sz w:val="21"/>
        </w:rPr>
        <w:t xml:space="preserve">econde </w:t>
      </w:r>
      <w:r w:rsidR="00F52D49">
        <w:rPr>
          <w:sz w:val="21"/>
        </w:rPr>
        <w:t>L</w:t>
      </w:r>
      <w:r w:rsidRPr="00BC4CFC">
        <w:rPr>
          <w:sz w:val="21"/>
        </w:rPr>
        <w:t>oi de finances rectificative pour 2022</w:t>
      </w:r>
    </w:p>
    <w:p w14:paraId="25CDB8E3" w14:textId="77777777" w:rsidR="006B0889" w:rsidRDefault="001244E1" w:rsidP="00640C6B">
      <w:pPr>
        <w:pStyle w:val="SousTitreChapitre"/>
        <w:numPr>
          <w:ilvl w:val="0"/>
          <w:numId w:val="0"/>
        </w:numPr>
      </w:pPr>
      <w:r>
        <w:t>F</w:t>
      </w:r>
      <w:r w:rsidR="00F978C2">
        <w:t>iscalité des particuliers</w:t>
      </w:r>
    </w:p>
    <w:p w14:paraId="5A76E8CC" w14:textId="4673AB63" w:rsidR="003C37A8" w:rsidRDefault="006B0889" w:rsidP="006B0889">
      <w:pPr>
        <w:pStyle w:val="Intertitre1"/>
      </w:pPr>
      <w:r>
        <w:t>I</w:t>
      </w:r>
      <w:r w:rsidR="00985B32">
        <w:t>mpôt sur le revenu</w:t>
      </w:r>
    </w:p>
    <w:p w14:paraId="06317043" w14:textId="6FB7F6A0" w:rsidR="009C74BA" w:rsidRDefault="009C74BA" w:rsidP="006B0889">
      <w:pPr>
        <w:pStyle w:val="Intertitre2"/>
      </w:pPr>
      <w:r>
        <w:t xml:space="preserve">Calcul de l’impôt </w:t>
      </w:r>
    </w:p>
    <w:p w14:paraId="536AB3E4" w14:textId="51C7FEAD" w:rsidR="00B9132B" w:rsidRDefault="00407912" w:rsidP="006B0889">
      <w:pPr>
        <w:pStyle w:val="Intertitre3"/>
      </w:pPr>
      <w:r>
        <w:t xml:space="preserve">LF 2023 - </w:t>
      </w:r>
      <w:r w:rsidR="009C74BA">
        <w:t xml:space="preserve">Barème de l’impôt sur le revenu et seuils </w:t>
      </w:r>
      <w:r w:rsidR="0028764A">
        <w:t>(</w:t>
      </w:r>
      <w:r w:rsidR="009C74BA">
        <w:t>et limites</w:t>
      </w:r>
      <w:r w:rsidR="0028764A">
        <w:t>)</w:t>
      </w:r>
      <w:r w:rsidR="009C74BA">
        <w:t xml:space="preserve"> associés</w:t>
      </w:r>
    </w:p>
    <w:p w14:paraId="4013A9F9" w14:textId="3173ED1B" w:rsidR="00067EFD" w:rsidRDefault="009C74BA" w:rsidP="00067EFD">
      <w:pPr>
        <w:pStyle w:val="CorpsTexte"/>
      </w:pPr>
      <w:r>
        <w:tab/>
        <w:t xml:space="preserve">La loi </w:t>
      </w:r>
      <w:r w:rsidR="00407912">
        <w:t>introduit</w:t>
      </w:r>
      <w:r>
        <w:t xml:space="preserve"> un </w:t>
      </w:r>
      <w:r w:rsidR="00CE1FDA">
        <w:t>rehaussement</w:t>
      </w:r>
      <w:r>
        <w:t xml:space="preserve"> de 5,40 % afin de neutraliser les effets de l’inflation</w:t>
      </w:r>
      <w:r w:rsidR="00FD0D49">
        <w:t xml:space="preserve">, avec une entrée en vigueur pour </w:t>
      </w:r>
      <w:r w:rsidR="0028764A">
        <w:t>l’imposition des revenus 2022.</w:t>
      </w:r>
    </w:p>
    <w:p w14:paraId="3329C0B3" w14:textId="0F621030" w:rsidR="009C74BA" w:rsidRDefault="00407912" w:rsidP="006B0889">
      <w:pPr>
        <w:pStyle w:val="Intertitre3"/>
      </w:pPr>
      <w:r>
        <w:t xml:space="preserve">LF 2023 - </w:t>
      </w:r>
      <w:r w:rsidR="009C74BA">
        <w:t xml:space="preserve">½ part fiscale pour les conjoints survivants d’anciens combattants </w:t>
      </w:r>
    </w:p>
    <w:p w14:paraId="6A36BA82" w14:textId="4571D09B" w:rsidR="00BC4CFC" w:rsidRDefault="009C74BA" w:rsidP="009C74BA">
      <w:pPr>
        <w:pStyle w:val="CorpsTexte"/>
      </w:pPr>
      <w:r w:rsidRPr="009C74BA">
        <w:t>Les conjoints survivants (âgés de plus de 74 ans) d'anciens combattants peuvent</w:t>
      </w:r>
      <w:r>
        <w:t>, à compter de l’impos</w:t>
      </w:r>
      <w:r w:rsidR="0028764A">
        <w:t>i</w:t>
      </w:r>
      <w:r>
        <w:t xml:space="preserve">tion des revenus 2022, </w:t>
      </w:r>
      <w:r w:rsidRPr="009C74BA">
        <w:t>bénéficier de la majoration de quotient familial, quel que soit l'âge de décès de leur conjoint, pourvu que celui-ci ait été titulaire de la carte du combattant au moment de son décès.</w:t>
      </w:r>
    </w:p>
    <w:p w14:paraId="2F19D9EB" w14:textId="77777777" w:rsidR="00067EFD" w:rsidRDefault="00067EFD" w:rsidP="006B0889">
      <w:pPr>
        <w:pStyle w:val="Intertitre2"/>
      </w:pPr>
    </w:p>
    <w:p w14:paraId="3554C0FD" w14:textId="475BFD86" w:rsidR="0028764A" w:rsidRPr="00407912" w:rsidRDefault="0028764A" w:rsidP="006B0889">
      <w:pPr>
        <w:pStyle w:val="Intertitre2"/>
      </w:pPr>
      <w:r w:rsidRPr="00407912">
        <w:t xml:space="preserve">Déductions </w:t>
      </w:r>
    </w:p>
    <w:p w14:paraId="0DC2CB5A" w14:textId="4D6C9990" w:rsidR="00FD3428" w:rsidRPr="00067EFD" w:rsidRDefault="00407912" w:rsidP="00067EFD">
      <w:pPr>
        <w:pStyle w:val="Intertitre3"/>
        <w:rPr>
          <w:b/>
        </w:rPr>
      </w:pPr>
      <w:r>
        <w:t>2</w:t>
      </w:r>
      <w:r w:rsidRPr="00067EFD">
        <w:rPr>
          <w:vertAlign w:val="superscript"/>
        </w:rPr>
        <w:t>nd</w:t>
      </w:r>
      <w:r>
        <w:t xml:space="preserve"> LFR 2022 - </w:t>
      </w:r>
      <w:r w:rsidR="00FD3428">
        <w:t>Travaux de rénovation énergétique réalisés par les propriétaires bailleurs</w:t>
      </w:r>
    </w:p>
    <w:p w14:paraId="48CD8468" w14:textId="7DE7226C" w:rsidR="00FD3428" w:rsidRPr="00FD3428" w:rsidRDefault="00FD3428" w:rsidP="00FD3428">
      <w:pPr>
        <w:pStyle w:val="CorpsTexte"/>
      </w:pPr>
      <w:r w:rsidRPr="00FD3428">
        <w:t>Le déficit foncier résultant de dépenses de travaux de rénovation énergétique déductibles</w:t>
      </w:r>
      <w:r w:rsidR="00297F94">
        <w:t>,</w:t>
      </w:r>
      <w:r w:rsidRPr="00FD3428">
        <w:t xml:space="preserve"> pour lesquelles le contribuable justifie de l'acceptation d'un devis à compter du 5 novembre 2022 et payées entre le 1er janvier 2023 et le 31 décembre 2025 </w:t>
      </w:r>
      <w:r w:rsidRPr="00FD3428">
        <w:rPr>
          <w:rStyle w:val="Accentuation1"/>
        </w:rPr>
        <w:t>bénéficie d’un plafond d'imputation sur le revenu global rehaussé, dans la limite annuelle de 21</w:t>
      </w:r>
      <w:r w:rsidRPr="00FD3428">
        <w:rPr>
          <w:rStyle w:val="Accentuation1"/>
          <w:rFonts w:ascii="Arial" w:hAnsi="Arial" w:cs="Arial"/>
        </w:rPr>
        <w:t> </w:t>
      </w:r>
      <w:r w:rsidRPr="00FD3428">
        <w:rPr>
          <w:rStyle w:val="Accentuation1"/>
        </w:rPr>
        <w:t>400</w:t>
      </w:r>
      <w:r w:rsidRPr="00FD3428">
        <w:rPr>
          <w:rStyle w:val="Accentuation1"/>
          <w:rFonts w:cs="Trebuchet MS"/>
        </w:rPr>
        <w:t> €</w:t>
      </w:r>
      <w:r w:rsidRPr="00FD3428">
        <w:t>, contre 10</w:t>
      </w:r>
      <w:r w:rsidRPr="00FD3428">
        <w:rPr>
          <w:rFonts w:ascii="Arial" w:hAnsi="Arial" w:cs="Arial"/>
        </w:rPr>
        <w:t> </w:t>
      </w:r>
      <w:r w:rsidRPr="00FD3428">
        <w:t>700</w:t>
      </w:r>
      <w:r w:rsidRPr="00FD3428">
        <w:rPr>
          <w:rFonts w:cs="Trebuchet MS"/>
        </w:rPr>
        <w:t> €</w:t>
      </w:r>
      <w:r>
        <w:t xml:space="preserve"> jusqu’alors.</w:t>
      </w:r>
    </w:p>
    <w:p w14:paraId="02045323" w14:textId="24CDADC5" w:rsidR="006B0889" w:rsidRDefault="00FD3428" w:rsidP="00125F9D">
      <w:pPr>
        <w:pStyle w:val="CorpsTexte"/>
      </w:pPr>
      <w:r>
        <w:t>A noter</w:t>
      </w:r>
      <w:r w:rsidR="001723F5">
        <w:t>,</w:t>
      </w:r>
      <w:r>
        <w:t xml:space="preserve"> que les modalités d’application de cette mesure introduite par la seconde loi de finances rectificative pour 2022 seront définies par décret.</w:t>
      </w:r>
      <w:r w:rsidR="00E26A19">
        <w:t xml:space="preserve"> </w:t>
      </w:r>
      <w:r w:rsidR="00FD0D49">
        <w:t xml:space="preserve">La première année fiscale concernée sera donc </w:t>
      </w:r>
      <w:r w:rsidR="00710C58">
        <w:t xml:space="preserve">celle de </w:t>
      </w:r>
      <w:r w:rsidR="00FD0D49">
        <w:t>l’exercice 2023.</w:t>
      </w:r>
    </w:p>
    <w:p w14:paraId="12F0B50E" w14:textId="77777777" w:rsidR="00125F9D" w:rsidRDefault="00125F9D">
      <w:pPr>
        <w:rPr>
          <w:rFonts w:ascii="Trebuchet MS" w:eastAsia="Trebuchet MS" w:hAnsi="Trebuchet MS"/>
          <w:b/>
          <w:color w:val="1D3461"/>
          <w:sz w:val="24"/>
        </w:rPr>
      </w:pPr>
      <w:r>
        <w:br w:type="page"/>
      </w:r>
    </w:p>
    <w:p w14:paraId="234D57BE" w14:textId="01902BE6" w:rsidR="0028764A" w:rsidRDefault="0028764A" w:rsidP="006B0889">
      <w:pPr>
        <w:pStyle w:val="Intertitre2"/>
      </w:pPr>
      <w:r>
        <w:t>Réductions et crédits d’impôts</w:t>
      </w:r>
    </w:p>
    <w:p w14:paraId="22A9E2D4" w14:textId="77777777" w:rsidR="00132B0B" w:rsidRDefault="00132B0B" w:rsidP="006B0889">
      <w:pPr>
        <w:pStyle w:val="Intertitre3"/>
      </w:pPr>
      <w:r>
        <w:t>LF 2023 – Crédit d’impôt pour frais de garde des jeunes enfants</w:t>
      </w:r>
    </w:p>
    <w:p w14:paraId="6A6FB27C" w14:textId="77777777" w:rsidR="00132B0B" w:rsidRDefault="00132B0B" w:rsidP="00132B0B">
      <w:pPr>
        <w:pStyle w:val="CorpsTexte"/>
      </w:pPr>
      <w:r>
        <w:t>A compter de l’imposition des revenus 2022, les plafonds de dépenses retenus pour le calcul du crédit d’impôt (taux de 50 %) sont revalorisés comme suit :</w:t>
      </w:r>
    </w:p>
    <w:p w14:paraId="5A1F2639" w14:textId="5B3258B5" w:rsidR="00132B0B" w:rsidRDefault="00132B0B" w:rsidP="00132B0B">
      <w:pPr>
        <w:pStyle w:val="Puce1"/>
      </w:pPr>
      <w:r>
        <w:t>Pour les célibataires : 1 750 € au lieu de 1 500 €</w:t>
      </w:r>
    </w:p>
    <w:p w14:paraId="5C3477BA" w14:textId="1B262954" w:rsidR="00067EFD" w:rsidRDefault="00132B0B" w:rsidP="00067EFD">
      <w:pPr>
        <w:pStyle w:val="Puce1"/>
      </w:pPr>
      <w:r>
        <w:lastRenderedPageBreak/>
        <w:t>Pour les couples soumis à une imposition commune : 3 500 € au lieu de 2 300 €</w:t>
      </w:r>
    </w:p>
    <w:p w14:paraId="6FA702AF" w14:textId="12C64AE9" w:rsidR="00E26A19" w:rsidRDefault="00407912" w:rsidP="00210A19">
      <w:pPr>
        <w:pStyle w:val="Intertitre3"/>
        <w:jc w:val="both"/>
      </w:pPr>
      <w:r>
        <w:t xml:space="preserve">LF 2023 - </w:t>
      </w:r>
      <w:r w:rsidR="00E26A19">
        <w:t>Réduction d’impôt Madelin</w:t>
      </w:r>
      <w:r>
        <w:t>, aussi appelé</w:t>
      </w:r>
      <w:r w:rsidR="00E26A19">
        <w:t xml:space="preserve"> </w:t>
      </w:r>
      <w:r>
        <w:t>« </w:t>
      </w:r>
      <w:r w:rsidR="00E26A19">
        <w:t>dispositif IR PME</w:t>
      </w:r>
      <w:r>
        <w:t> »</w:t>
      </w:r>
      <w:r w:rsidR="00E26A19">
        <w:t xml:space="preserve"> : prorogation, sous conditions, de la majoration </w:t>
      </w:r>
      <w:r w:rsidR="00FD0D49">
        <w:t xml:space="preserve">temporaire </w:t>
      </w:r>
      <w:r w:rsidR="00E26A19">
        <w:t>du taux de réduction à 25</w:t>
      </w:r>
      <w:r>
        <w:t> </w:t>
      </w:r>
      <w:r w:rsidR="00E26A19">
        <w:t>% au lieu de 18 %</w:t>
      </w:r>
    </w:p>
    <w:p w14:paraId="70F6B475" w14:textId="09A3DD6E" w:rsidR="00067EFD" w:rsidRPr="00067EFD" w:rsidRDefault="00FD0D49" w:rsidP="00067EFD">
      <w:pPr>
        <w:pStyle w:val="Intertitre2"/>
        <w:jc w:val="both"/>
        <w:rPr>
          <w:b w:val="0"/>
          <w:color w:val="595959"/>
          <w:sz w:val="21"/>
        </w:rPr>
      </w:pPr>
      <w:r>
        <w:rPr>
          <w:b w:val="0"/>
          <w:color w:val="595959"/>
          <w:sz w:val="21"/>
        </w:rPr>
        <w:t>L</w:t>
      </w:r>
      <w:r w:rsidRPr="00FD0D49">
        <w:rPr>
          <w:b w:val="0"/>
          <w:color w:val="595959"/>
          <w:sz w:val="21"/>
        </w:rPr>
        <w:t>e taux de 25 % (au lieu de 18 %) s'appliquera</w:t>
      </w:r>
      <w:r>
        <w:rPr>
          <w:b w:val="0"/>
          <w:color w:val="595959"/>
          <w:sz w:val="21"/>
        </w:rPr>
        <w:t xml:space="preserve"> pour les souscriptions en direct ou dans des fonds de type FIP / FCPI</w:t>
      </w:r>
      <w:r w:rsidRPr="00FD0D49">
        <w:rPr>
          <w:b w:val="0"/>
          <w:color w:val="595959"/>
          <w:sz w:val="21"/>
        </w:rPr>
        <w:t xml:space="preserve"> à compter du lendemain de la date de validation par la Commission européenne de la majoration temporaire du taux de réduction</w:t>
      </w:r>
      <w:r w:rsidR="0009554B">
        <w:rPr>
          <w:b w:val="0"/>
          <w:color w:val="595959"/>
          <w:sz w:val="21"/>
        </w:rPr>
        <w:t xml:space="preserve">, </w:t>
      </w:r>
      <w:r>
        <w:rPr>
          <w:b w:val="0"/>
          <w:color w:val="595959"/>
          <w:sz w:val="21"/>
        </w:rPr>
        <w:t>et jusqu’au 31/12/2023.</w:t>
      </w:r>
    </w:p>
    <w:p w14:paraId="2FCDBAA7" w14:textId="63E2056B" w:rsidR="00FD0D49" w:rsidRDefault="00407912" w:rsidP="006B0889">
      <w:pPr>
        <w:pStyle w:val="Intertitre3"/>
      </w:pPr>
      <w:r>
        <w:t xml:space="preserve">LF 2023 - </w:t>
      </w:r>
      <w:r w:rsidR="00FD0D49">
        <w:t>Réduction d’impôt Malraux : prorogation dans les quartiers anciens dégradés</w:t>
      </w:r>
    </w:p>
    <w:p w14:paraId="1BBF27AE" w14:textId="6E726986" w:rsidR="00067EFD" w:rsidRDefault="00FD0D49" w:rsidP="00067EFD">
      <w:pPr>
        <w:pStyle w:val="CorpsTexte"/>
      </w:pPr>
      <w:r>
        <w:t xml:space="preserve">Le dispositif devait prendre fin au 31/12/2022, </w:t>
      </w:r>
      <w:r w:rsidRPr="00FD0D49">
        <w:rPr>
          <w:rStyle w:val="Accentuation1"/>
        </w:rPr>
        <w:t>il est prorogé jusqu’au 31/12/2023</w:t>
      </w:r>
      <w:r>
        <w:t>. Pour rappel, le taux de réduction d’impôt est de 30 % du montant des dépenses éligibles engagées.</w:t>
      </w:r>
    </w:p>
    <w:p w14:paraId="5C1CC3F8" w14:textId="4375DD7F" w:rsidR="00132B0B" w:rsidRDefault="00132B0B" w:rsidP="006B0889">
      <w:pPr>
        <w:pStyle w:val="Intertitre3"/>
      </w:pPr>
      <w:r>
        <w:t>LF 2023 – Evolutions du dispositif Défi-Forêt</w:t>
      </w:r>
    </w:p>
    <w:p w14:paraId="49258C2E" w14:textId="29115E6F" w:rsidR="00132B0B" w:rsidRDefault="00132B0B" w:rsidP="00132B0B">
      <w:pPr>
        <w:pStyle w:val="CorpsTexte"/>
      </w:pPr>
      <w:r>
        <w:t xml:space="preserve">Le dispositif est prorogé </w:t>
      </w:r>
      <w:r w:rsidR="004C7ED1">
        <w:t>jusqu’au 31/12/2025 et modifié. Son champ d’application est étendu et le crédit d’impôt est généralisé (au lieu de la réduction d’impôt) pour les dépenses engagées à compter du 01/01/2023.</w:t>
      </w:r>
    </w:p>
    <w:p w14:paraId="1A609714" w14:textId="4D7314FB" w:rsidR="004C7ED1" w:rsidRDefault="004C7ED1" w:rsidP="004C7ED1">
      <w:pPr>
        <w:pStyle w:val="TitreTableau"/>
      </w:pPr>
      <w:r>
        <w:t>Investissements forestiers « Défi-Forêts » réalisés du 01/01/2023 au 31/12/2025</w:t>
      </w:r>
      <w:r w:rsidR="00985B32">
        <w:t> : synthèse</w:t>
      </w:r>
    </w:p>
    <w:tbl>
      <w:tblPr>
        <w:tblW w:w="0" w:type="auto"/>
        <w:tblInd w:w="226" w:type="dxa"/>
        <w:tblBorders>
          <w:bottom w:val="single" w:sz="6" w:space="0" w:color="D9D9D9"/>
          <w:right w:val="single" w:sz="6" w:space="0" w:color="D9D9D9"/>
          <w:insideH w:val="single" w:sz="6" w:space="0" w:color="D9D9D9"/>
          <w:insideV w:val="single" w:sz="6" w:space="0" w:color="D9D9D9"/>
        </w:tblBorders>
        <w:tblLayout w:type="fixed"/>
        <w:tblCellMar>
          <w:top w:w="23" w:type="dxa"/>
          <w:left w:w="128" w:type="dxa"/>
          <w:bottom w:w="23" w:type="dxa"/>
          <w:right w:w="128" w:type="dxa"/>
        </w:tblCellMar>
        <w:tblLook w:val="04A0" w:firstRow="1" w:lastRow="0" w:firstColumn="1" w:lastColumn="0" w:noHBand="0" w:noVBand="1"/>
      </w:tblPr>
      <w:tblGrid>
        <w:gridCol w:w="3006"/>
        <w:gridCol w:w="1701"/>
        <w:gridCol w:w="1758"/>
        <w:gridCol w:w="1758"/>
      </w:tblGrid>
      <w:tr w:rsidR="004C7ED1" w14:paraId="755F93D8" w14:textId="77777777" w:rsidTr="004C7ED1">
        <w:trPr>
          <w:cantSplit/>
          <w:trHeight w:val="283"/>
          <w:tblHeader/>
        </w:trPr>
        <w:tc>
          <w:tcPr>
            <w:tcW w:w="3006" w:type="dxa"/>
            <w:tcBorders>
              <w:top w:val="nil"/>
              <w:left w:val="nil"/>
              <w:bottom w:val="single" w:sz="6" w:space="0" w:color="D9D9D9"/>
              <w:right w:val="single" w:sz="6" w:space="0" w:color="D9D9D9"/>
            </w:tcBorders>
            <w:shd w:val="clear" w:color="auto" w:fill="577188"/>
            <w:tcMar>
              <w:top w:w="23" w:type="dxa"/>
              <w:left w:w="113" w:type="dxa"/>
              <w:bottom w:w="23" w:type="dxa"/>
              <w:right w:w="128" w:type="dxa"/>
            </w:tcMar>
            <w:vAlign w:val="center"/>
            <w:hideMark/>
          </w:tcPr>
          <w:p w14:paraId="3B17FD31" w14:textId="1871ACF8" w:rsidR="004C7ED1" w:rsidRDefault="004C7ED1">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left"/>
            </w:pPr>
            <w:r>
              <w:t>Dispositif</w:t>
            </w:r>
          </w:p>
        </w:tc>
        <w:tc>
          <w:tcPr>
            <w:tcW w:w="1701"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22591BC4" w14:textId="609A365A" w:rsidR="004C7ED1" w:rsidRDefault="004C7ED1">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Taux</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4F8AF54F" w14:textId="151CFE11" w:rsidR="004C7ED1" w:rsidRDefault="004C7ED1">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Surface en ha</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20F1C000" w14:textId="24D90B3A" w:rsidR="004C7ED1" w:rsidRDefault="004C7ED1">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Plafond</w:t>
            </w:r>
          </w:p>
        </w:tc>
      </w:tr>
      <w:tr w:rsidR="004C7ED1" w14:paraId="37E366D4" w14:textId="77777777" w:rsidTr="004C7ED1">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6EB7A91F" w14:textId="0B4BB0ED" w:rsidR="004C7ED1" w:rsidRDefault="004C7ED1">
            <w:pPr>
              <w:pStyle w:val="TableauTexteLibelleLigneSurFond"/>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Crédit d’impôt DEFI-Acquisition</w:t>
            </w:r>
          </w:p>
        </w:tc>
        <w:tc>
          <w:tcPr>
            <w:tcW w:w="1701" w:type="dxa"/>
            <w:tcBorders>
              <w:top w:val="single" w:sz="6" w:space="0" w:color="D9D9D9"/>
              <w:left w:val="single" w:sz="6" w:space="0" w:color="D9D9D9"/>
              <w:bottom w:val="single" w:sz="6" w:space="0" w:color="D9D9D9"/>
              <w:right w:val="single" w:sz="6" w:space="0" w:color="D9D9D9"/>
            </w:tcBorders>
          </w:tcPr>
          <w:p w14:paraId="16DFFA95" w14:textId="18A6FC64" w:rsidR="004C7ED1" w:rsidRDefault="004C7ED1">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25 %</w:t>
            </w:r>
          </w:p>
        </w:tc>
        <w:tc>
          <w:tcPr>
            <w:tcW w:w="1758" w:type="dxa"/>
            <w:tcBorders>
              <w:top w:val="single" w:sz="6" w:space="0" w:color="D9D9D9"/>
              <w:left w:val="single" w:sz="6" w:space="0" w:color="D9D9D9"/>
              <w:bottom w:val="single" w:sz="6" w:space="0" w:color="D9D9D9"/>
              <w:right w:val="single" w:sz="6" w:space="0" w:color="D9D9D9"/>
            </w:tcBorders>
          </w:tcPr>
          <w:p w14:paraId="299CE465" w14:textId="5BE61C28" w:rsidR="004C7ED1" w:rsidRDefault="004C7ED1">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rsidRPr="004C7ED1">
              <w:t>Entre 4 et 25 ha après acquisition</w:t>
            </w:r>
          </w:p>
        </w:tc>
        <w:tc>
          <w:tcPr>
            <w:tcW w:w="1758" w:type="dxa"/>
            <w:tcBorders>
              <w:top w:val="single" w:sz="6" w:space="0" w:color="D9D9D9"/>
              <w:left w:val="single" w:sz="6" w:space="0" w:color="D9D9D9"/>
              <w:bottom w:val="single" w:sz="6" w:space="0" w:color="D9D9D9"/>
              <w:right w:val="single" w:sz="6" w:space="0" w:color="D9D9D9"/>
            </w:tcBorders>
          </w:tcPr>
          <w:p w14:paraId="6D7F43AC" w14:textId="77777777" w:rsidR="004C7ED1" w:rsidRDefault="004C7ED1">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 xml:space="preserve">6 250 € </w:t>
            </w:r>
            <w:proofErr w:type="gramStart"/>
            <w:r>
              <w:t>ou</w:t>
            </w:r>
            <w:proofErr w:type="gramEnd"/>
            <w:r>
              <w:t xml:space="preserve"> </w:t>
            </w:r>
          </w:p>
          <w:p w14:paraId="02F2CE5D" w14:textId="39D2F7F5" w:rsidR="004C7ED1" w:rsidRDefault="004C7ED1">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12 500 €</w:t>
            </w:r>
          </w:p>
        </w:tc>
      </w:tr>
      <w:tr w:rsidR="004C7ED1" w14:paraId="78CD2F2A" w14:textId="77777777" w:rsidTr="004C7ED1">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29ECB0D4" w14:textId="7C4108D5" w:rsidR="004C7ED1" w:rsidRDefault="004C7ED1" w:rsidP="004C7ED1">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Crédit d’impôt DEFI-Assurance</w:t>
            </w:r>
          </w:p>
        </w:tc>
        <w:tc>
          <w:tcPr>
            <w:tcW w:w="1701" w:type="dxa"/>
            <w:tcBorders>
              <w:top w:val="single" w:sz="6" w:space="0" w:color="D9D9D9"/>
              <w:left w:val="single" w:sz="6" w:space="0" w:color="D9D9D9"/>
              <w:bottom w:val="single" w:sz="6" w:space="0" w:color="D9D9D9"/>
              <w:right w:val="single" w:sz="6" w:space="0" w:color="D9D9D9"/>
            </w:tcBorders>
          </w:tcPr>
          <w:p w14:paraId="78488F60" w14:textId="0E3F9919" w:rsidR="004C7ED1" w:rsidRDefault="004C7ED1" w:rsidP="004C7ED1">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76 %</w:t>
            </w:r>
          </w:p>
        </w:tc>
        <w:tc>
          <w:tcPr>
            <w:tcW w:w="1758" w:type="dxa"/>
            <w:tcBorders>
              <w:top w:val="single" w:sz="6" w:space="0" w:color="D9D9D9"/>
              <w:left w:val="single" w:sz="6" w:space="0" w:color="D9D9D9"/>
              <w:bottom w:val="single" w:sz="6" w:space="0" w:color="D9D9D9"/>
              <w:right w:val="single" w:sz="6" w:space="0" w:color="D9D9D9"/>
            </w:tcBorders>
          </w:tcPr>
          <w:p w14:paraId="12B15854" w14:textId="0A78E12C" w:rsidR="004C7ED1" w:rsidRDefault="004C7ED1" w:rsidP="004C7ED1">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w:t>
            </w:r>
          </w:p>
        </w:tc>
        <w:tc>
          <w:tcPr>
            <w:tcW w:w="1758" w:type="dxa"/>
            <w:tcBorders>
              <w:top w:val="single" w:sz="6" w:space="0" w:color="D9D9D9"/>
              <w:left w:val="single" w:sz="6" w:space="0" w:color="D9D9D9"/>
              <w:bottom w:val="single" w:sz="6" w:space="0" w:color="D9D9D9"/>
              <w:right w:val="single" w:sz="6" w:space="0" w:color="D9D9D9"/>
            </w:tcBorders>
          </w:tcPr>
          <w:p w14:paraId="38964B22" w14:textId="68C2B5F8" w:rsidR="004C7ED1" w:rsidRDefault="00273F84" w:rsidP="004C7ED1">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rsidRPr="00273F84">
              <w:t>Plafond spécifique : 15 € / ha assuré</w:t>
            </w:r>
            <w:r>
              <w:t xml:space="preserve">, dans la limite de </w:t>
            </w:r>
            <w:r w:rsidRPr="00273F84">
              <w:t>6</w:t>
            </w:r>
            <w:r w:rsidRPr="00273F84">
              <w:rPr>
                <w:rFonts w:ascii="Arial" w:hAnsi="Arial" w:cs="Arial"/>
              </w:rPr>
              <w:t> </w:t>
            </w:r>
            <w:r w:rsidRPr="00273F84">
              <w:t>250</w:t>
            </w:r>
            <w:r w:rsidRPr="00273F84">
              <w:rPr>
                <w:rFonts w:cs="Trebuchet MS"/>
              </w:rPr>
              <w:t> €</w:t>
            </w:r>
            <w:r w:rsidRPr="00273F84">
              <w:t xml:space="preserve"> ou 12</w:t>
            </w:r>
            <w:r w:rsidRPr="00273F84">
              <w:rPr>
                <w:rFonts w:ascii="Arial" w:hAnsi="Arial" w:cs="Arial"/>
              </w:rPr>
              <w:t> </w:t>
            </w:r>
            <w:r w:rsidRPr="00273F84">
              <w:t>500</w:t>
            </w:r>
            <w:r w:rsidRPr="00273F84">
              <w:rPr>
                <w:rFonts w:cs="Trebuchet MS"/>
              </w:rPr>
              <w:t> </w:t>
            </w:r>
            <w:r w:rsidRPr="00273F84">
              <w:t>€</w:t>
            </w:r>
          </w:p>
        </w:tc>
      </w:tr>
      <w:tr w:rsidR="004C7ED1" w14:paraId="128A2724" w14:textId="77777777" w:rsidTr="004C7ED1">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729759F6" w14:textId="349CECFB" w:rsidR="004C7ED1" w:rsidRDefault="004C7ED1" w:rsidP="004C7ED1">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Crédit d’impôt DEFI-Travaux</w:t>
            </w:r>
          </w:p>
        </w:tc>
        <w:tc>
          <w:tcPr>
            <w:tcW w:w="1701" w:type="dxa"/>
            <w:tcBorders>
              <w:top w:val="single" w:sz="6" w:space="0" w:color="D9D9D9"/>
              <w:left w:val="single" w:sz="6" w:space="0" w:color="D9D9D9"/>
              <w:bottom w:val="single" w:sz="6" w:space="0" w:color="D9D9D9"/>
              <w:right w:val="single" w:sz="6" w:space="0" w:color="D9D9D9"/>
            </w:tcBorders>
          </w:tcPr>
          <w:p w14:paraId="33632E60" w14:textId="5D837C3B" w:rsidR="004C7ED1" w:rsidRDefault="004C7ED1" w:rsidP="004C7ED1">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25 %</w:t>
            </w:r>
          </w:p>
        </w:tc>
        <w:tc>
          <w:tcPr>
            <w:tcW w:w="1758" w:type="dxa"/>
            <w:tcBorders>
              <w:top w:val="single" w:sz="6" w:space="0" w:color="D9D9D9"/>
              <w:left w:val="single" w:sz="6" w:space="0" w:color="D9D9D9"/>
              <w:bottom w:val="single" w:sz="6" w:space="0" w:color="D9D9D9"/>
              <w:right w:val="single" w:sz="6" w:space="0" w:color="D9D9D9"/>
            </w:tcBorders>
          </w:tcPr>
          <w:p w14:paraId="7EF6E406" w14:textId="704E5946" w:rsidR="004C7ED1" w:rsidRDefault="004C7ED1" w:rsidP="004C7ED1">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Sans conditions de surface</w:t>
            </w:r>
          </w:p>
        </w:tc>
        <w:tc>
          <w:tcPr>
            <w:tcW w:w="1758" w:type="dxa"/>
            <w:tcBorders>
              <w:top w:val="single" w:sz="6" w:space="0" w:color="D9D9D9"/>
              <w:left w:val="single" w:sz="6" w:space="0" w:color="D9D9D9"/>
              <w:bottom w:val="single" w:sz="6" w:space="0" w:color="D9D9D9"/>
              <w:right w:val="single" w:sz="6" w:space="0" w:color="D9D9D9"/>
            </w:tcBorders>
          </w:tcPr>
          <w:p w14:paraId="6096C180" w14:textId="6519A1E1" w:rsidR="004C7ED1" w:rsidRDefault="00273F84" w:rsidP="004C7ED1">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rsidRPr="00273F84">
              <w:t>6</w:t>
            </w:r>
            <w:r w:rsidRPr="00273F84">
              <w:rPr>
                <w:rFonts w:ascii="Arial" w:hAnsi="Arial" w:cs="Arial"/>
              </w:rPr>
              <w:t> </w:t>
            </w:r>
            <w:r w:rsidRPr="00273F84">
              <w:t>250</w:t>
            </w:r>
            <w:r w:rsidRPr="00273F84">
              <w:rPr>
                <w:rFonts w:cs="Trebuchet MS"/>
              </w:rPr>
              <w:t> €</w:t>
            </w:r>
            <w:r w:rsidRPr="00273F84">
              <w:t xml:space="preserve"> ou 12</w:t>
            </w:r>
            <w:r w:rsidRPr="00273F84">
              <w:rPr>
                <w:rFonts w:ascii="Arial" w:hAnsi="Arial" w:cs="Arial"/>
              </w:rPr>
              <w:t> </w:t>
            </w:r>
            <w:r w:rsidRPr="00273F84">
              <w:t>500</w:t>
            </w:r>
            <w:r w:rsidRPr="00273F84">
              <w:rPr>
                <w:rFonts w:cs="Trebuchet MS"/>
              </w:rPr>
              <w:t> </w:t>
            </w:r>
            <w:r w:rsidRPr="00273F84">
              <w:t>€</w:t>
            </w:r>
          </w:p>
        </w:tc>
      </w:tr>
    </w:tbl>
    <w:p w14:paraId="720DAA08" w14:textId="33E6EC4D" w:rsidR="004C7ED1" w:rsidRDefault="00273F84" w:rsidP="00132B0B">
      <w:pPr>
        <w:pStyle w:val="CorpsTexte"/>
      </w:pPr>
      <w:r>
        <w:t>Le plafond de 6 250 € (célibataire) ou 12 500 € (couple) est global</w:t>
      </w:r>
      <w:r w:rsidR="003D132A">
        <w:t>, tous types de dispositifs « Défi-Forêts » confondus.</w:t>
      </w:r>
    </w:p>
    <w:p w14:paraId="40FF4F45" w14:textId="77777777" w:rsidR="00125F9D" w:rsidRDefault="00125F9D">
      <w:pPr>
        <w:rPr>
          <w:rFonts w:ascii="Trebuchet MS" w:eastAsia="Trebuchet MS" w:hAnsi="Trebuchet MS"/>
          <w:b/>
          <w:color w:val="1D3461"/>
          <w:sz w:val="24"/>
        </w:rPr>
      </w:pPr>
      <w:r>
        <w:br w:type="page"/>
      </w:r>
    </w:p>
    <w:p w14:paraId="3D041B04" w14:textId="375E8ACB" w:rsidR="00985B32" w:rsidRDefault="00985B32" w:rsidP="00985B32">
      <w:pPr>
        <w:pStyle w:val="Intertitre2"/>
      </w:pPr>
      <w:r>
        <w:t>Investissements immobiliers de défiscalisation</w:t>
      </w:r>
    </w:p>
    <w:p w14:paraId="7ED42B72" w14:textId="5161BA47" w:rsidR="00985B32" w:rsidRDefault="00552814" w:rsidP="00985B32">
      <w:pPr>
        <w:pStyle w:val="Intertitre3"/>
      </w:pPr>
      <w:r>
        <w:t>Investissements PINEL : t</w:t>
      </w:r>
      <w:r w:rsidR="00985B32">
        <w:t>aux en vigueur pour les investissements réalisés à compter du 01/01/2023</w:t>
      </w:r>
    </w:p>
    <w:p w14:paraId="19574FE6" w14:textId="0D388BC4" w:rsidR="00985B32" w:rsidRDefault="00552814" w:rsidP="00985B32">
      <w:pPr>
        <w:pStyle w:val="CorpsTexte"/>
      </w:pPr>
      <w:r>
        <w:t>Le</w:t>
      </w:r>
      <w:r w:rsidR="00985B32">
        <w:t xml:space="preserve"> dispositif </w:t>
      </w:r>
      <w:r>
        <w:t xml:space="preserve">est raboté à compter de 2023 et </w:t>
      </w:r>
      <w:r w:rsidR="00985B32">
        <w:t>doit prendre fin au 31/12/2024. Nous vous rappelons ci-après les différents taux de réduction d’impôt, en fonction du type d’investissement Pinel réalisé.</w:t>
      </w:r>
    </w:p>
    <w:p w14:paraId="4F12ED83" w14:textId="7527FFCA" w:rsidR="00985B32" w:rsidRPr="00985B32" w:rsidRDefault="00985B32" w:rsidP="00985B32">
      <w:pPr>
        <w:pStyle w:val="TitreTableau"/>
      </w:pPr>
      <w:r w:rsidRPr="00985B32">
        <w:t>Investissements Pinel réalisés en métropole (hors "Pinel +")</w:t>
      </w:r>
    </w:p>
    <w:tbl>
      <w:tblPr>
        <w:tblW w:w="0" w:type="auto"/>
        <w:tblInd w:w="226" w:type="dxa"/>
        <w:tblBorders>
          <w:bottom w:val="single" w:sz="6" w:space="0" w:color="D9D9D9"/>
          <w:right w:val="single" w:sz="6" w:space="0" w:color="D9D9D9"/>
          <w:insideH w:val="single" w:sz="6" w:space="0" w:color="D9D9D9"/>
          <w:insideV w:val="single" w:sz="6" w:space="0" w:color="D9D9D9"/>
        </w:tblBorders>
        <w:tblLayout w:type="fixed"/>
        <w:tblCellMar>
          <w:top w:w="23" w:type="dxa"/>
          <w:left w:w="128" w:type="dxa"/>
          <w:bottom w:w="23" w:type="dxa"/>
          <w:right w:w="128" w:type="dxa"/>
        </w:tblCellMar>
        <w:tblLook w:val="04A0" w:firstRow="1" w:lastRow="0" w:firstColumn="1" w:lastColumn="0" w:noHBand="0" w:noVBand="1"/>
      </w:tblPr>
      <w:tblGrid>
        <w:gridCol w:w="3006"/>
        <w:gridCol w:w="1758"/>
        <w:gridCol w:w="1758"/>
      </w:tblGrid>
      <w:tr w:rsidR="00985B32" w14:paraId="77147DEF" w14:textId="77777777" w:rsidTr="00985B32">
        <w:trPr>
          <w:cantSplit/>
          <w:trHeight w:val="283"/>
          <w:tblHeader/>
        </w:trPr>
        <w:tc>
          <w:tcPr>
            <w:tcW w:w="3006" w:type="dxa"/>
            <w:tcBorders>
              <w:top w:val="nil"/>
              <w:left w:val="nil"/>
              <w:bottom w:val="single" w:sz="6" w:space="0" w:color="D9D9D9"/>
              <w:right w:val="single" w:sz="6" w:space="0" w:color="D9D9D9"/>
            </w:tcBorders>
            <w:shd w:val="clear" w:color="auto" w:fill="577188"/>
            <w:tcMar>
              <w:top w:w="23" w:type="dxa"/>
              <w:left w:w="113" w:type="dxa"/>
              <w:bottom w:w="23" w:type="dxa"/>
              <w:right w:w="128" w:type="dxa"/>
            </w:tcMar>
            <w:vAlign w:val="center"/>
            <w:hideMark/>
          </w:tcPr>
          <w:p w14:paraId="242E9D0C" w14:textId="77777777" w:rsidR="00985B32" w:rsidRDefault="00985B32" w:rsidP="00985B32">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left"/>
            </w:pPr>
            <w:r>
              <w:t>Engagement initial de location de 6 ans</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0FAFDEAC" w14:textId="1DEA71CA" w:rsidR="00985B32" w:rsidRDefault="00985B32" w:rsidP="00985B32">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Investissement réalisé en 2023</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68FE1911" w14:textId="358958BA" w:rsidR="00985B32" w:rsidRDefault="00985B32" w:rsidP="00985B32">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Investissement réalisé en 2024</w:t>
            </w:r>
          </w:p>
        </w:tc>
      </w:tr>
      <w:tr w:rsidR="00985B32" w14:paraId="51414943" w14:textId="77777777" w:rsidTr="00985B32">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68303514" w14:textId="77777777" w:rsidR="00985B32" w:rsidRDefault="00985B32" w:rsidP="00985B32">
            <w:pPr>
              <w:pStyle w:val="TableauTexteLibelleLigneSurFond"/>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6 premières années</w:t>
            </w:r>
          </w:p>
        </w:tc>
        <w:tc>
          <w:tcPr>
            <w:tcW w:w="1758" w:type="dxa"/>
            <w:tcBorders>
              <w:top w:val="single" w:sz="6" w:space="0" w:color="D9D9D9"/>
              <w:left w:val="single" w:sz="6" w:space="0" w:color="D9D9D9"/>
              <w:bottom w:val="single" w:sz="6" w:space="0" w:color="D9D9D9"/>
              <w:right w:val="single" w:sz="6" w:space="0" w:color="D9D9D9"/>
            </w:tcBorders>
            <w:hideMark/>
          </w:tcPr>
          <w:p w14:paraId="3E9DDA75" w14:textId="77777777" w:rsidR="00985B32" w:rsidRDefault="00985B32" w:rsidP="00985B32">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10,50 %</w:t>
            </w:r>
          </w:p>
        </w:tc>
        <w:tc>
          <w:tcPr>
            <w:tcW w:w="1758" w:type="dxa"/>
            <w:tcBorders>
              <w:top w:val="single" w:sz="6" w:space="0" w:color="D9D9D9"/>
              <w:left w:val="single" w:sz="6" w:space="0" w:color="D9D9D9"/>
              <w:bottom w:val="single" w:sz="6" w:space="0" w:color="D9D9D9"/>
              <w:right w:val="single" w:sz="6" w:space="0" w:color="D9D9D9"/>
            </w:tcBorders>
            <w:hideMark/>
          </w:tcPr>
          <w:p w14:paraId="48D2923F" w14:textId="77777777" w:rsidR="00985B32" w:rsidRDefault="00985B32" w:rsidP="00985B32">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9 %</w:t>
            </w:r>
          </w:p>
        </w:tc>
      </w:tr>
      <w:tr w:rsidR="00985B32" w14:paraId="1C5E0084" w14:textId="77777777" w:rsidTr="00985B32">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50A46907" w14:textId="77777777" w:rsidR="00985B32" w:rsidRDefault="00985B32" w:rsidP="00985B32">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Prorogation de 3 ans</w:t>
            </w:r>
          </w:p>
        </w:tc>
        <w:tc>
          <w:tcPr>
            <w:tcW w:w="1758" w:type="dxa"/>
            <w:tcBorders>
              <w:top w:val="single" w:sz="6" w:space="0" w:color="D9D9D9"/>
              <w:left w:val="single" w:sz="6" w:space="0" w:color="D9D9D9"/>
              <w:bottom w:val="single" w:sz="6" w:space="0" w:color="D9D9D9"/>
              <w:right w:val="single" w:sz="6" w:space="0" w:color="D9D9D9"/>
            </w:tcBorders>
            <w:hideMark/>
          </w:tcPr>
          <w:p w14:paraId="0B574437" w14:textId="77777777" w:rsidR="00985B32" w:rsidRDefault="00985B32" w:rsidP="00985B32">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4,50 %</w:t>
            </w:r>
          </w:p>
        </w:tc>
        <w:tc>
          <w:tcPr>
            <w:tcW w:w="1758" w:type="dxa"/>
            <w:tcBorders>
              <w:top w:val="single" w:sz="6" w:space="0" w:color="D9D9D9"/>
              <w:left w:val="single" w:sz="6" w:space="0" w:color="D9D9D9"/>
              <w:bottom w:val="single" w:sz="6" w:space="0" w:color="D9D9D9"/>
              <w:right w:val="single" w:sz="6" w:space="0" w:color="D9D9D9"/>
            </w:tcBorders>
            <w:hideMark/>
          </w:tcPr>
          <w:p w14:paraId="2DE09918" w14:textId="77777777" w:rsidR="00985B32" w:rsidRDefault="00985B32" w:rsidP="00985B32">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3 %</w:t>
            </w:r>
          </w:p>
        </w:tc>
      </w:tr>
      <w:tr w:rsidR="00985B32" w14:paraId="0AA126EE" w14:textId="77777777" w:rsidTr="00985B32">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5D4696C7" w14:textId="77777777" w:rsidR="00985B32" w:rsidRDefault="00985B32" w:rsidP="00985B32">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Nouvelle prorogation de 3 ans</w:t>
            </w:r>
          </w:p>
        </w:tc>
        <w:tc>
          <w:tcPr>
            <w:tcW w:w="1758" w:type="dxa"/>
            <w:tcBorders>
              <w:top w:val="single" w:sz="6" w:space="0" w:color="D9D9D9"/>
              <w:left w:val="single" w:sz="6" w:space="0" w:color="D9D9D9"/>
              <w:bottom w:val="single" w:sz="6" w:space="0" w:color="D9D9D9"/>
              <w:right w:val="single" w:sz="6" w:space="0" w:color="D9D9D9"/>
            </w:tcBorders>
            <w:hideMark/>
          </w:tcPr>
          <w:p w14:paraId="12C2A656" w14:textId="77777777" w:rsidR="00985B32" w:rsidRDefault="00985B32" w:rsidP="00985B32">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2,5 %</w:t>
            </w:r>
          </w:p>
        </w:tc>
        <w:tc>
          <w:tcPr>
            <w:tcW w:w="1758" w:type="dxa"/>
            <w:tcBorders>
              <w:top w:val="single" w:sz="6" w:space="0" w:color="D9D9D9"/>
              <w:left w:val="single" w:sz="6" w:space="0" w:color="D9D9D9"/>
              <w:bottom w:val="single" w:sz="6" w:space="0" w:color="D9D9D9"/>
              <w:right w:val="single" w:sz="6" w:space="0" w:color="D9D9D9"/>
            </w:tcBorders>
            <w:hideMark/>
          </w:tcPr>
          <w:p w14:paraId="5073EEE8" w14:textId="77777777" w:rsidR="00985B32" w:rsidRDefault="00985B32" w:rsidP="00985B32">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2 %</w:t>
            </w:r>
          </w:p>
        </w:tc>
      </w:tr>
    </w:tbl>
    <w:p w14:paraId="71C6B12E" w14:textId="77777777" w:rsidR="00552814" w:rsidRDefault="00552814" w:rsidP="00552814">
      <w:pPr>
        <w:pStyle w:val="TitreTableau"/>
      </w:pPr>
    </w:p>
    <w:tbl>
      <w:tblPr>
        <w:tblW w:w="0" w:type="auto"/>
        <w:tblInd w:w="226" w:type="dxa"/>
        <w:tblBorders>
          <w:bottom w:val="single" w:sz="6" w:space="0" w:color="D9D9D9"/>
          <w:right w:val="single" w:sz="6" w:space="0" w:color="D9D9D9"/>
          <w:insideH w:val="single" w:sz="6" w:space="0" w:color="D9D9D9"/>
          <w:insideV w:val="single" w:sz="6" w:space="0" w:color="D9D9D9"/>
        </w:tblBorders>
        <w:tblLayout w:type="fixed"/>
        <w:tblCellMar>
          <w:top w:w="23" w:type="dxa"/>
          <w:left w:w="128" w:type="dxa"/>
          <w:bottom w:w="23" w:type="dxa"/>
          <w:right w:w="128" w:type="dxa"/>
        </w:tblCellMar>
        <w:tblLook w:val="04A0" w:firstRow="1" w:lastRow="0" w:firstColumn="1" w:lastColumn="0" w:noHBand="0" w:noVBand="1"/>
      </w:tblPr>
      <w:tblGrid>
        <w:gridCol w:w="3006"/>
        <w:gridCol w:w="1758"/>
        <w:gridCol w:w="1758"/>
      </w:tblGrid>
      <w:tr w:rsidR="00552814" w14:paraId="71ED918B" w14:textId="77777777" w:rsidTr="000A1AB5">
        <w:trPr>
          <w:cantSplit/>
          <w:trHeight w:val="283"/>
          <w:tblHeader/>
        </w:trPr>
        <w:tc>
          <w:tcPr>
            <w:tcW w:w="3006" w:type="dxa"/>
            <w:tcBorders>
              <w:top w:val="nil"/>
              <w:left w:val="nil"/>
              <w:bottom w:val="single" w:sz="6" w:space="0" w:color="D9D9D9"/>
              <w:right w:val="single" w:sz="6" w:space="0" w:color="D9D9D9"/>
            </w:tcBorders>
            <w:shd w:val="clear" w:color="auto" w:fill="577188"/>
            <w:tcMar>
              <w:top w:w="23" w:type="dxa"/>
              <w:left w:w="113" w:type="dxa"/>
              <w:bottom w:w="23" w:type="dxa"/>
              <w:right w:w="128" w:type="dxa"/>
            </w:tcMar>
            <w:vAlign w:val="center"/>
            <w:hideMark/>
          </w:tcPr>
          <w:p w14:paraId="6CF1932F" w14:textId="304149A0" w:rsidR="00552814" w:rsidRDefault="00552814" w:rsidP="000A1AB5">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left"/>
            </w:pPr>
            <w:r>
              <w:t>Engagement initial de location de 9 ans</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0AA861CC" w14:textId="77777777" w:rsidR="00552814" w:rsidRDefault="00552814" w:rsidP="000A1AB5">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Investissement réalisé en 2023</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78BC7BFD" w14:textId="77777777" w:rsidR="00552814" w:rsidRDefault="00552814" w:rsidP="000A1AB5">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Investissement réalisé en 2024</w:t>
            </w:r>
          </w:p>
        </w:tc>
      </w:tr>
      <w:tr w:rsidR="00552814" w14:paraId="7D730C8C" w14:textId="77777777" w:rsidTr="000A1AB5">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41F56C6B" w14:textId="7BFD6E0C" w:rsidR="00552814" w:rsidRDefault="00552814" w:rsidP="000A1AB5">
            <w:pPr>
              <w:pStyle w:val="TableauTexteLibelleLigneSurFond"/>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9 premières années</w:t>
            </w:r>
          </w:p>
        </w:tc>
        <w:tc>
          <w:tcPr>
            <w:tcW w:w="1758" w:type="dxa"/>
            <w:tcBorders>
              <w:top w:val="single" w:sz="6" w:space="0" w:color="D9D9D9"/>
              <w:left w:val="single" w:sz="6" w:space="0" w:color="D9D9D9"/>
              <w:bottom w:val="single" w:sz="6" w:space="0" w:color="D9D9D9"/>
              <w:right w:val="single" w:sz="6" w:space="0" w:color="D9D9D9"/>
            </w:tcBorders>
            <w:hideMark/>
          </w:tcPr>
          <w:p w14:paraId="7F4D2680" w14:textId="6571A798" w:rsidR="00552814" w:rsidRDefault="00552814" w:rsidP="000A1AB5">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15 %</w:t>
            </w:r>
          </w:p>
        </w:tc>
        <w:tc>
          <w:tcPr>
            <w:tcW w:w="1758" w:type="dxa"/>
            <w:tcBorders>
              <w:top w:val="single" w:sz="6" w:space="0" w:color="D9D9D9"/>
              <w:left w:val="single" w:sz="6" w:space="0" w:color="D9D9D9"/>
              <w:bottom w:val="single" w:sz="6" w:space="0" w:color="D9D9D9"/>
              <w:right w:val="single" w:sz="6" w:space="0" w:color="D9D9D9"/>
            </w:tcBorders>
            <w:hideMark/>
          </w:tcPr>
          <w:p w14:paraId="4DCAF057" w14:textId="24B6BD77" w:rsidR="00552814" w:rsidRDefault="00552814" w:rsidP="000A1AB5">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12 %</w:t>
            </w:r>
          </w:p>
        </w:tc>
      </w:tr>
      <w:tr w:rsidR="00552814" w14:paraId="2A197A9B" w14:textId="77777777" w:rsidTr="000A1AB5">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41B559FC" w14:textId="77777777" w:rsidR="00552814" w:rsidRDefault="00552814" w:rsidP="000A1AB5">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Prorogation de 3 ans</w:t>
            </w:r>
          </w:p>
        </w:tc>
        <w:tc>
          <w:tcPr>
            <w:tcW w:w="1758" w:type="dxa"/>
            <w:tcBorders>
              <w:top w:val="single" w:sz="6" w:space="0" w:color="D9D9D9"/>
              <w:left w:val="single" w:sz="6" w:space="0" w:color="D9D9D9"/>
              <w:bottom w:val="single" w:sz="6" w:space="0" w:color="D9D9D9"/>
              <w:right w:val="single" w:sz="6" w:space="0" w:color="D9D9D9"/>
            </w:tcBorders>
            <w:hideMark/>
          </w:tcPr>
          <w:p w14:paraId="6549ED97" w14:textId="6953A2C6" w:rsidR="00552814" w:rsidRDefault="00552814" w:rsidP="000A1AB5">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2,50 %</w:t>
            </w:r>
          </w:p>
        </w:tc>
        <w:tc>
          <w:tcPr>
            <w:tcW w:w="1758" w:type="dxa"/>
            <w:tcBorders>
              <w:top w:val="single" w:sz="6" w:space="0" w:color="D9D9D9"/>
              <w:left w:val="single" w:sz="6" w:space="0" w:color="D9D9D9"/>
              <w:bottom w:val="single" w:sz="6" w:space="0" w:color="D9D9D9"/>
              <w:right w:val="single" w:sz="6" w:space="0" w:color="D9D9D9"/>
            </w:tcBorders>
            <w:hideMark/>
          </w:tcPr>
          <w:p w14:paraId="602C99E9" w14:textId="414CB211" w:rsidR="00552814" w:rsidRDefault="00552814" w:rsidP="000A1AB5">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2 %</w:t>
            </w:r>
          </w:p>
        </w:tc>
      </w:tr>
    </w:tbl>
    <w:p w14:paraId="14905317" w14:textId="6E8825B3" w:rsidR="00552814" w:rsidRPr="00985B32" w:rsidRDefault="00552814" w:rsidP="00552814">
      <w:pPr>
        <w:pStyle w:val="TitreTableau"/>
      </w:pPr>
      <w:r w:rsidRPr="00985B32">
        <w:t xml:space="preserve">Investissements Pinel </w:t>
      </w:r>
      <w:r>
        <w:t xml:space="preserve">+ </w:t>
      </w:r>
    </w:p>
    <w:tbl>
      <w:tblPr>
        <w:tblW w:w="0" w:type="auto"/>
        <w:tblInd w:w="226" w:type="dxa"/>
        <w:tblBorders>
          <w:bottom w:val="single" w:sz="6" w:space="0" w:color="D9D9D9"/>
          <w:right w:val="single" w:sz="6" w:space="0" w:color="D9D9D9"/>
          <w:insideH w:val="single" w:sz="6" w:space="0" w:color="D9D9D9"/>
          <w:insideV w:val="single" w:sz="6" w:space="0" w:color="D9D9D9"/>
        </w:tblBorders>
        <w:tblLayout w:type="fixed"/>
        <w:tblCellMar>
          <w:top w:w="23" w:type="dxa"/>
          <w:left w:w="128" w:type="dxa"/>
          <w:bottom w:w="23" w:type="dxa"/>
          <w:right w:w="128" w:type="dxa"/>
        </w:tblCellMar>
        <w:tblLook w:val="04A0" w:firstRow="1" w:lastRow="0" w:firstColumn="1" w:lastColumn="0" w:noHBand="0" w:noVBand="1"/>
      </w:tblPr>
      <w:tblGrid>
        <w:gridCol w:w="3006"/>
        <w:gridCol w:w="1758"/>
      </w:tblGrid>
      <w:tr w:rsidR="00552814" w14:paraId="4CE4C9B2" w14:textId="77777777" w:rsidTr="000A1AB5">
        <w:trPr>
          <w:cantSplit/>
          <w:trHeight w:val="283"/>
          <w:tblHeader/>
        </w:trPr>
        <w:tc>
          <w:tcPr>
            <w:tcW w:w="3006" w:type="dxa"/>
            <w:tcBorders>
              <w:top w:val="nil"/>
              <w:left w:val="nil"/>
              <w:bottom w:val="single" w:sz="6" w:space="0" w:color="D9D9D9"/>
              <w:right w:val="single" w:sz="6" w:space="0" w:color="D9D9D9"/>
            </w:tcBorders>
            <w:shd w:val="clear" w:color="auto" w:fill="577188"/>
            <w:tcMar>
              <w:top w:w="23" w:type="dxa"/>
              <w:left w:w="113" w:type="dxa"/>
              <w:bottom w:w="23" w:type="dxa"/>
              <w:right w:w="128" w:type="dxa"/>
            </w:tcMar>
            <w:vAlign w:val="center"/>
            <w:hideMark/>
          </w:tcPr>
          <w:p w14:paraId="7FD05AEA" w14:textId="77777777" w:rsidR="00552814" w:rsidRDefault="00552814" w:rsidP="000A1AB5">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left"/>
            </w:pPr>
            <w:r>
              <w:t>Engagement initial de location de 6 ans</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773CC0BC" w14:textId="7A4EA9CB" w:rsidR="00552814" w:rsidRDefault="00552814" w:rsidP="000A1AB5">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Investissement réalisé en 2023 ou 2024</w:t>
            </w:r>
          </w:p>
        </w:tc>
      </w:tr>
      <w:tr w:rsidR="00552814" w14:paraId="5F78EF2C" w14:textId="77777777" w:rsidTr="00552814">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001A98B2" w14:textId="77777777" w:rsidR="00552814" w:rsidRDefault="00552814" w:rsidP="000A1AB5">
            <w:pPr>
              <w:pStyle w:val="TableauTexteLibelleLigneSurFond"/>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6 premières années</w:t>
            </w:r>
          </w:p>
        </w:tc>
        <w:tc>
          <w:tcPr>
            <w:tcW w:w="1758" w:type="dxa"/>
            <w:tcBorders>
              <w:top w:val="single" w:sz="6" w:space="0" w:color="D9D9D9"/>
              <w:left w:val="single" w:sz="6" w:space="0" w:color="D9D9D9"/>
              <w:bottom w:val="single" w:sz="6" w:space="0" w:color="D9D9D9"/>
              <w:right w:val="single" w:sz="6" w:space="0" w:color="D9D9D9"/>
            </w:tcBorders>
          </w:tcPr>
          <w:p w14:paraId="17608EC7" w14:textId="06778AA2" w:rsidR="00552814" w:rsidRDefault="00552814" w:rsidP="000A1AB5">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12 %</w:t>
            </w:r>
          </w:p>
        </w:tc>
      </w:tr>
      <w:tr w:rsidR="00552814" w14:paraId="6C8A05B6" w14:textId="77777777" w:rsidTr="00552814">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3D7C5A41" w14:textId="77777777" w:rsidR="00552814" w:rsidRDefault="00552814" w:rsidP="000A1AB5">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Prorogation de 3 ans</w:t>
            </w:r>
          </w:p>
        </w:tc>
        <w:tc>
          <w:tcPr>
            <w:tcW w:w="1758" w:type="dxa"/>
            <w:tcBorders>
              <w:top w:val="single" w:sz="6" w:space="0" w:color="D9D9D9"/>
              <w:left w:val="single" w:sz="6" w:space="0" w:color="D9D9D9"/>
              <w:bottom w:val="single" w:sz="6" w:space="0" w:color="D9D9D9"/>
              <w:right w:val="single" w:sz="6" w:space="0" w:color="D9D9D9"/>
            </w:tcBorders>
          </w:tcPr>
          <w:p w14:paraId="669F3F56" w14:textId="174DAE36" w:rsidR="00552814" w:rsidRDefault="00552814" w:rsidP="000A1AB5">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6 %</w:t>
            </w:r>
          </w:p>
        </w:tc>
      </w:tr>
      <w:tr w:rsidR="00552814" w14:paraId="3CA8899D" w14:textId="77777777" w:rsidTr="00552814">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0609FF7F" w14:textId="77777777" w:rsidR="00552814" w:rsidRDefault="00552814" w:rsidP="000A1AB5">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Nouvelle prorogation de 3 ans</w:t>
            </w:r>
          </w:p>
        </w:tc>
        <w:tc>
          <w:tcPr>
            <w:tcW w:w="1758" w:type="dxa"/>
            <w:tcBorders>
              <w:top w:val="single" w:sz="6" w:space="0" w:color="D9D9D9"/>
              <w:left w:val="single" w:sz="6" w:space="0" w:color="D9D9D9"/>
              <w:bottom w:val="single" w:sz="6" w:space="0" w:color="D9D9D9"/>
              <w:right w:val="single" w:sz="6" w:space="0" w:color="D9D9D9"/>
            </w:tcBorders>
          </w:tcPr>
          <w:p w14:paraId="489B5FA9" w14:textId="1009988D" w:rsidR="00552814" w:rsidRDefault="00552814" w:rsidP="000A1AB5">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3 %</w:t>
            </w:r>
          </w:p>
        </w:tc>
      </w:tr>
    </w:tbl>
    <w:p w14:paraId="06106C96" w14:textId="4CDCD3D5" w:rsidR="00132B0B" w:rsidRDefault="00132B0B" w:rsidP="00985B32">
      <w:pPr>
        <w:pStyle w:val="Puce1"/>
        <w:numPr>
          <w:ilvl w:val="0"/>
          <w:numId w:val="0"/>
        </w:numPr>
      </w:pPr>
    </w:p>
    <w:tbl>
      <w:tblPr>
        <w:tblW w:w="0" w:type="auto"/>
        <w:tblInd w:w="226" w:type="dxa"/>
        <w:tblBorders>
          <w:bottom w:val="single" w:sz="6" w:space="0" w:color="D9D9D9"/>
          <w:right w:val="single" w:sz="6" w:space="0" w:color="D9D9D9"/>
          <w:insideH w:val="single" w:sz="6" w:space="0" w:color="D9D9D9"/>
          <w:insideV w:val="single" w:sz="6" w:space="0" w:color="D9D9D9"/>
        </w:tblBorders>
        <w:tblLayout w:type="fixed"/>
        <w:tblCellMar>
          <w:top w:w="23" w:type="dxa"/>
          <w:left w:w="128" w:type="dxa"/>
          <w:bottom w:w="23" w:type="dxa"/>
          <w:right w:w="128" w:type="dxa"/>
        </w:tblCellMar>
        <w:tblLook w:val="04A0" w:firstRow="1" w:lastRow="0" w:firstColumn="1" w:lastColumn="0" w:noHBand="0" w:noVBand="1"/>
      </w:tblPr>
      <w:tblGrid>
        <w:gridCol w:w="3006"/>
        <w:gridCol w:w="1758"/>
      </w:tblGrid>
      <w:tr w:rsidR="00552814" w14:paraId="5E902DE4" w14:textId="77777777" w:rsidTr="000A1AB5">
        <w:trPr>
          <w:cantSplit/>
          <w:trHeight w:val="283"/>
          <w:tblHeader/>
        </w:trPr>
        <w:tc>
          <w:tcPr>
            <w:tcW w:w="3006" w:type="dxa"/>
            <w:tcBorders>
              <w:top w:val="nil"/>
              <w:left w:val="nil"/>
              <w:bottom w:val="single" w:sz="6" w:space="0" w:color="D9D9D9"/>
              <w:right w:val="single" w:sz="6" w:space="0" w:color="D9D9D9"/>
            </w:tcBorders>
            <w:shd w:val="clear" w:color="auto" w:fill="577188"/>
            <w:tcMar>
              <w:top w:w="23" w:type="dxa"/>
              <w:left w:w="113" w:type="dxa"/>
              <w:bottom w:w="23" w:type="dxa"/>
              <w:right w:w="128" w:type="dxa"/>
            </w:tcMar>
            <w:vAlign w:val="center"/>
            <w:hideMark/>
          </w:tcPr>
          <w:p w14:paraId="70B09021" w14:textId="19F36245" w:rsidR="00552814" w:rsidRDefault="00552814" w:rsidP="000A1AB5">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left"/>
            </w:pPr>
            <w:r>
              <w:t>Engagement initial de location de 9 ans</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40963C32" w14:textId="77777777" w:rsidR="00552814" w:rsidRDefault="00552814" w:rsidP="000A1AB5">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Investissement réalisé en 2023 ou 2024</w:t>
            </w:r>
          </w:p>
        </w:tc>
      </w:tr>
      <w:tr w:rsidR="00552814" w14:paraId="374B1263" w14:textId="77777777" w:rsidTr="000A1AB5">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5C3D7AF6" w14:textId="0AF29FBC" w:rsidR="00552814" w:rsidRDefault="00552814" w:rsidP="000A1AB5">
            <w:pPr>
              <w:pStyle w:val="TableauTexteLibelleLigneSurFond"/>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9 premières années</w:t>
            </w:r>
          </w:p>
        </w:tc>
        <w:tc>
          <w:tcPr>
            <w:tcW w:w="1758" w:type="dxa"/>
            <w:tcBorders>
              <w:top w:val="single" w:sz="6" w:space="0" w:color="D9D9D9"/>
              <w:left w:val="single" w:sz="6" w:space="0" w:color="D9D9D9"/>
              <w:bottom w:val="single" w:sz="6" w:space="0" w:color="D9D9D9"/>
              <w:right w:val="single" w:sz="6" w:space="0" w:color="D9D9D9"/>
            </w:tcBorders>
          </w:tcPr>
          <w:p w14:paraId="3DA3283A" w14:textId="60BD9198" w:rsidR="00552814" w:rsidRDefault="00552814" w:rsidP="000A1AB5">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18 %</w:t>
            </w:r>
          </w:p>
        </w:tc>
      </w:tr>
      <w:tr w:rsidR="00552814" w14:paraId="7C5F70BA" w14:textId="77777777" w:rsidTr="000A1AB5">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560D2738" w14:textId="77777777" w:rsidR="00552814" w:rsidRDefault="00552814" w:rsidP="000A1AB5">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Prorogation de 3 ans</w:t>
            </w:r>
          </w:p>
        </w:tc>
        <w:tc>
          <w:tcPr>
            <w:tcW w:w="1758" w:type="dxa"/>
            <w:tcBorders>
              <w:top w:val="single" w:sz="6" w:space="0" w:color="D9D9D9"/>
              <w:left w:val="single" w:sz="6" w:space="0" w:color="D9D9D9"/>
              <w:bottom w:val="single" w:sz="6" w:space="0" w:color="D9D9D9"/>
              <w:right w:val="single" w:sz="6" w:space="0" w:color="D9D9D9"/>
            </w:tcBorders>
          </w:tcPr>
          <w:p w14:paraId="51A68594" w14:textId="5C2020B6" w:rsidR="00552814" w:rsidRDefault="00552814" w:rsidP="000A1AB5">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3 %</w:t>
            </w:r>
          </w:p>
        </w:tc>
      </w:tr>
    </w:tbl>
    <w:p w14:paraId="4EB77FD9" w14:textId="5A362115" w:rsidR="00552814" w:rsidRDefault="00552814" w:rsidP="00985B32">
      <w:pPr>
        <w:pStyle w:val="Puce1"/>
        <w:numPr>
          <w:ilvl w:val="0"/>
          <w:numId w:val="0"/>
        </w:numPr>
      </w:pPr>
    </w:p>
    <w:p w14:paraId="03277678" w14:textId="688CC171" w:rsidR="00552814" w:rsidRDefault="00552814" w:rsidP="00552814">
      <w:pPr>
        <w:pStyle w:val="CorpsTexte"/>
      </w:pPr>
      <w:r w:rsidRPr="00552814">
        <w:rPr>
          <w:u w:val="single"/>
        </w:rPr>
        <w:t>Dispositif Pinel + :</w:t>
      </w:r>
      <w:r>
        <w:t xml:space="preserve"> les taux de réduction d'impôt applicables pour les investissements réalisés en 2023 ou 2024 restent identiques à ceux applicables en 2022, sous réserve du respect de certaines conditions : </w:t>
      </w:r>
    </w:p>
    <w:p w14:paraId="1BF89C6F" w14:textId="77777777" w:rsidR="00552814" w:rsidRDefault="00552814" w:rsidP="00552814">
      <w:pPr>
        <w:pStyle w:val="Puce1"/>
        <w:numPr>
          <w:ilvl w:val="6"/>
          <w:numId w:val="33"/>
        </w:numPr>
      </w:pPr>
      <w:r>
        <w:t>logement situé dans les Quartiers prioritaires de la ville (QPV) ;</w:t>
      </w:r>
    </w:p>
    <w:p w14:paraId="699FFF63" w14:textId="3617D6A1" w:rsidR="00552814" w:rsidRDefault="00552814" w:rsidP="00552814">
      <w:pPr>
        <w:pStyle w:val="Puce1"/>
        <w:numPr>
          <w:ilvl w:val="6"/>
          <w:numId w:val="33"/>
        </w:numPr>
      </w:pPr>
      <w:r>
        <w:t>ou logement situé dans une zone Pinel qui respecte un niveau de qualité et de performance énergétique et environnemental supérieur à la réglementation.</w:t>
      </w:r>
    </w:p>
    <w:p w14:paraId="45060A5E" w14:textId="77777777" w:rsidR="00552814" w:rsidRDefault="00552814" w:rsidP="00552814">
      <w:pPr>
        <w:pStyle w:val="TitreTablea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Investissements Pinel-neuf réalisés en outremer (hors "Pinel +")</w:t>
      </w:r>
    </w:p>
    <w:tbl>
      <w:tblPr>
        <w:tblW w:w="0" w:type="auto"/>
        <w:tblInd w:w="226" w:type="dxa"/>
        <w:tblBorders>
          <w:bottom w:val="single" w:sz="6" w:space="0" w:color="D9D9D9"/>
          <w:right w:val="single" w:sz="6" w:space="0" w:color="D9D9D9"/>
          <w:insideH w:val="single" w:sz="6" w:space="0" w:color="D9D9D9"/>
          <w:insideV w:val="single" w:sz="6" w:space="0" w:color="D9D9D9"/>
        </w:tblBorders>
        <w:tblLayout w:type="fixed"/>
        <w:tblCellMar>
          <w:top w:w="23" w:type="dxa"/>
          <w:left w:w="128" w:type="dxa"/>
          <w:bottom w:w="23" w:type="dxa"/>
          <w:right w:w="128" w:type="dxa"/>
        </w:tblCellMar>
        <w:tblLook w:val="04A0" w:firstRow="1" w:lastRow="0" w:firstColumn="1" w:lastColumn="0" w:noHBand="0" w:noVBand="1"/>
      </w:tblPr>
      <w:tblGrid>
        <w:gridCol w:w="3006"/>
        <w:gridCol w:w="1758"/>
        <w:gridCol w:w="1758"/>
      </w:tblGrid>
      <w:tr w:rsidR="00552814" w14:paraId="19788312" w14:textId="77777777" w:rsidTr="00552814">
        <w:trPr>
          <w:cantSplit/>
          <w:trHeight w:val="283"/>
          <w:tblHeader/>
        </w:trPr>
        <w:tc>
          <w:tcPr>
            <w:tcW w:w="3006" w:type="dxa"/>
            <w:tcBorders>
              <w:top w:val="nil"/>
              <w:left w:val="nil"/>
              <w:bottom w:val="single" w:sz="6" w:space="0" w:color="D9D9D9"/>
              <w:right w:val="single" w:sz="6" w:space="0" w:color="D9D9D9"/>
            </w:tcBorders>
            <w:shd w:val="clear" w:color="auto" w:fill="577188"/>
            <w:tcMar>
              <w:top w:w="23" w:type="dxa"/>
              <w:left w:w="113" w:type="dxa"/>
              <w:bottom w:w="23" w:type="dxa"/>
              <w:right w:w="128" w:type="dxa"/>
            </w:tcMar>
            <w:vAlign w:val="center"/>
            <w:hideMark/>
          </w:tcPr>
          <w:p w14:paraId="13C8A3D3" w14:textId="77777777" w:rsidR="00552814" w:rsidRDefault="00552814">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left"/>
            </w:pPr>
            <w:r>
              <w:t>Engagement initial de location de 6 ans</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5450677F" w14:textId="77777777" w:rsidR="00552814" w:rsidRDefault="00552814">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2023</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2B9F4DCD" w14:textId="77777777" w:rsidR="00552814" w:rsidRDefault="00552814">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2024</w:t>
            </w:r>
          </w:p>
        </w:tc>
      </w:tr>
      <w:tr w:rsidR="00552814" w14:paraId="5CB8AE19" w14:textId="77777777" w:rsidTr="00552814">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3F491BF6" w14:textId="77777777" w:rsidR="00552814" w:rsidRDefault="00552814">
            <w:pPr>
              <w:pStyle w:val="TableauTexteLibelleLigneSurFond"/>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6 premières années</w:t>
            </w:r>
          </w:p>
        </w:tc>
        <w:tc>
          <w:tcPr>
            <w:tcW w:w="1758" w:type="dxa"/>
            <w:tcBorders>
              <w:top w:val="single" w:sz="6" w:space="0" w:color="D9D9D9"/>
              <w:left w:val="single" w:sz="6" w:space="0" w:color="D9D9D9"/>
              <w:bottom w:val="single" w:sz="6" w:space="0" w:color="D9D9D9"/>
              <w:right w:val="single" w:sz="6" w:space="0" w:color="D9D9D9"/>
            </w:tcBorders>
            <w:hideMark/>
          </w:tcPr>
          <w:p w14:paraId="2A83FDDC" w14:textId="77777777" w:rsidR="00552814" w:rsidRDefault="00552814">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21,50 %</w:t>
            </w:r>
          </w:p>
        </w:tc>
        <w:tc>
          <w:tcPr>
            <w:tcW w:w="1758" w:type="dxa"/>
            <w:tcBorders>
              <w:top w:val="single" w:sz="6" w:space="0" w:color="D9D9D9"/>
              <w:left w:val="single" w:sz="6" w:space="0" w:color="D9D9D9"/>
              <w:bottom w:val="single" w:sz="6" w:space="0" w:color="D9D9D9"/>
              <w:right w:val="single" w:sz="6" w:space="0" w:color="D9D9D9"/>
            </w:tcBorders>
            <w:hideMark/>
          </w:tcPr>
          <w:p w14:paraId="24AEB093" w14:textId="77777777" w:rsidR="00552814" w:rsidRDefault="00552814">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20 %</w:t>
            </w:r>
          </w:p>
        </w:tc>
      </w:tr>
      <w:tr w:rsidR="00552814" w14:paraId="40EAA048" w14:textId="77777777" w:rsidTr="00552814">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33FBE5DA" w14:textId="77777777" w:rsidR="00552814" w:rsidRDefault="00552814">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Prorogation de 3 ans</w:t>
            </w:r>
          </w:p>
        </w:tc>
        <w:tc>
          <w:tcPr>
            <w:tcW w:w="1758" w:type="dxa"/>
            <w:tcBorders>
              <w:top w:val="single" w:sz="6" w:space="0" w:color="D9D9D9"/>
              <w:left w:val="single" w:sz="6" w:space="0" w:color="D9D9D9"/>
              <w:bottom w:val="single" w:sz="6" w:space="0" w:color="D9D9D9"/>
              <w:right w:val="single" w:sz="6" w:space="0" w:color="D9D9D9"/>
            </w:tcBorders>
            <w:hideMark/>
          </w:tcPr>
          <w:p w14:paraId="5C8CD2B6" w14:textId="77777777" w:rsidR="00552814" w:rsidRDefault="00552814">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4,50 %</w:t>
            </w:r>
          </w:p>
        </w:tc>
        <w:tc>
          <w:tcPr>
            <w:tcW w:w="1758" w:type="dxa"/>
            <w:tcBorders>
              <w:top w:val="single" w:sz="6" w:space="0" w:color="D9D9D9"/>
              <w:left w:val="single" w:sz="6" w:space="0" w:color="D9D9D9"/>
              <w:bottom w:val="single" w:sz="6" w:space="0" w:color="D9D9D9"/>
              <w:right w:val="single" w:sz="6" w:space="0" w:color="D9D9D9"/>
            </w:tcBorders>
            <w:hideMark/>
          </w:tcPr>
          <w:p w14:paraId="217C8442" w14:textId="77777777" w:rsidR="00552814" w:rsidRDefault="00552814">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3 %</w:t>
            </w:r>
          </w:p>
        </w:tc>
      </w:tr>
      <w:tr w:rsidR="00552814" w14:paraId="10CCE764" w14:textId="77777777" w:rsidTr="00552814">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0413CEDD" w14:textId="77777777" w:rsidR="00552814" w:rsidRDefault="00552814">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Nouvelle prorogation de 3 ans</w:t>
            </w:r>
          </w:p>
        </w:tc>
        <w:tc>
          <w:tcPr>
            <w:tcW w:w="1758" w:type="dxa"/>
            <w:tcBorders>
              <w:top w:val="single" w:sz="6" w:space="0" w:color="D9D9D9"/>
              <w:left w:val="single" w:sz="6" w:space="0" w:color="D9D9D9"/>
              <w:bottom w:val="single" w:sz="6" w:space="0" w:color="D9D9D9"/>
              <w:right w:val="single" w:sz="6" w:space="0" w:color="D9D9D9"/>
            </w:tcBorders>
            <w:hideMark/>
          </w:tcPr>
          <w:p w14:paraId="4D2FAD3C" w14:textId="77777777" w:rsidR="00552814" w:rsidRDefault="00552814">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2,50 %</w:t>
            </w:r>
          </w:p>
        </w:tc>
        <w:tc>
          <w:tcPr>
            <w:tcW w:w="1758" w:type="dxa"/>
            <w:tcBorders>
              <w:top w:val="single" w:sz="6" w:space="0" w:color="D9D9D9"/>
              <w:left w:val="single" w:sz="6" w:space="0" w:color="D9D9D9"/>
              <w:bottom w:val="single" w:sz="6" w:space="0" w:color="D9D9D9"/>
              <w:right w:val="single" w:sz="6" w:space="0" w:color="D9D9D9"/>
            </w:tcBorders>
            <w:hideMark/>
          </w:tcPr>
          <w:p w14:paraId="3915B4FC" w14:textId="77777777" w:rsidR="00552814" w:rsidRDefault="00552814">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2 %</w:t>
            </w:r>
          </w:p>
        </w:tc>
      </w:tr>
    </w:tbl>
    <w:p w14:paraId="1FD59184" w14:textId="77777777" w:rsidR="00552814" w:rsidRDefault="00552814" w:rsidP="00552814">
      <w:pPr>
        <w:pStyle w:val="TableauTexteLibelle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rPr>
      </w:pPr>
    </w:p>
    <w:tbl>
      <w:tblPr>
        <w:tblW w:w="0" w:type="auto"/>
        <w:tblInd w:w="226" w:type="dxa"/>
        <w:tblBorders>
          <w:bottom w:val="single" w:sz="6" w:space="0" w:color="D9D9D9"/>
          <w:right w:val="single" w:sz="6" w:space="0" w:color="D9D9D9"/>
          <w:insideH w:val="single" w:sz="6" w:space="0" w:color="D9D9D9"/>
          <w:insideV w:val="single" w:sz="6" w:space="0" w:color="D9D9D9"/>
        </w:tblBorders>
        <w:tblLayout w:type="fixed"/>
        <w:tblCellMar>
          <w:top w:w="23" w:type="dxa"/>
          <w:left w:w="128" w:type="dxa"/>
          <w:bottom w:w="23" w:type="dxa"/>
          <w:right w:w="128" w:type="dxa"/>
        </w:tblCellMar>
        <w:tblLook w:val="04A0" w:firstRow="1" w:lastRow="0" w:firstColumn="1" w:lastColumn="0" w:noHBand="0" w:noVBand="1"/>
      </w:tblPr>
      <w:tblGrid>
        <w:gridCol w:w="3006"/>
        <w:gridCol w:w="1758"/>
        <w:gridCol w:w="1758"/>
      </w:tblGrid>
      <w:tr w:rsidR="00552814" w14:paraId="28472565" w14:textId="77777777" w:rsidTr="00552814">
        <w:trPr>
          <w:cantSplit/>
          <w:trHeight w:val="283"/>
          <w:tblHeader/>
        </w:trPr>
        <w:tc>
          <w:tcPr>
            <w:tcW w:w="3006" w:type="dxa"/>
            <w:tcBorders>
              <w:top w:val="nil"/>
              <w:left w:val="nil"/>
              <w:bottom w:val="single" w:sz="6" w:space="0" w:color="D9D9D9"/>
              <w:right w:val="single" w:sz="6" w:space="0" w:color="D9D9D9"/>
            </w:tcBorders>
            <w:shd w:val="clear" w:color="auto" w:fill="577188"/>
            <w:tcMar>
              <w:top w:w="23" w:type="dxa"/>
              <w:left w:w="113" w:type="dxa"/>
              <w:bottom w:w="23" w:type="dxa"/>
              <w:right w:w="128" w:type="dxa"/>
            </w:tcMar>
            <w:vAlign w:val="center"/>
            <w:hideMark/>
          </w:tcPr>
          <w:p w14:paraId="5F3C328B" w14:textId="77777777" w:rsidR="00552814" w:rsidRDefault="00552814">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left"/>
            </w:pPr>
            <w:r>
              <w:t>Engagement initial de location de 9 ans</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7D1D587A" w14:textId="77777777" w:rsidR="00552814" w:rsidRDefault="00552814">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2023</w:t>
            </w:r>
          </w:p>
        </w:tc>
        <w:tc>
          <w:tcPr>
            <w:tcW w:w="1758"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69D8411F" w14:textId="77777777" w:rsidR="00552814" w:rsidRDefault="00552814">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2024</w:t>
            </w:r>
          </w:p>
        </w:tc>
      </w:tr>
      <w:tr w:rsidR="00552814" w14:paraId="2508797A" w14:textId="77777777" w:rsidTr="00552814">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4C725315" w14:textId="77777777" w:rsidR="00552814" w:rsidRDefault="00552814">
            <w:pPr>
              <w:pStyle w:val="TableauTexteLibelleLigneSurFond"/>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9 premières années</w:t>
            </w:r>
          </w:p>
        </w:tc>
        <w:tc>
          <w:tcPr>
            <w:tcW w:w="1758" w:type="dxa"/>
            <w:tcBorders>
              <w:top w:val="single" w:sz="6" w:space="0" w:color="D9D9D9"/>
              <w:left w:val="single" w:sz="6" w:space="0" w:color="D9D9D9"/>
              <w:bottom w:val="single" w:sz="6" w:space="0" w:color="D9D9D9"/>
              <w:right w:val="single" w:sz="6" w:space="0" w:color="D9D9D9"/>
            </w:tcBorders>
            <w:hideMark/>
          </w:tcPr>
          <w:p w14:paraId="27E9F141" w14:textId="77777777" w:rsidR="00552814" w:rsidRDefault="00552814">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26 %</w:t>
            </w:r>
          </w:p>
        </w:tc>
        <w:tc>
          <w:tcPr>
            <w:tcW w:w="1758" w:type="dxa"/>
            <w:tcBorders>
              <w:top w:val="single" w:sz="6" w:space="0" w:color="D9D9D9"/>
              <w:left w:val="single" w:sz="6" w:space="0" w:color="D9D9D9"/>
              <w:bottom w:val="single" w:sz="6" w:space="0" w:color="D9D9D9"/>
              <w:right w:val="single" w:sz="6" w:space="0" w:color="D9D9D9"/>
            </w:tcBorders>
            <w:hideMark/>
          </w:tcPr>
          <w:p w14:paraId="54D907AE" w14:textId="77777777" w:rsidR="00552814" w:rsidRDefault="00552814">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23 %</w:t>
            </w:r>
          </w:p>
        </w:tc>
      </w:tr>
      <w:tr w:rsidR="00552814" w14:paraId="23C99C6A" w14:textId="77777777" w:rsidTr="00552814">
        <w:trPr>
          <w:trHeight w:val="283"/>
        </w:trPr>
        <w:tc>
          <w:tcPr>
            <w:tcW w:w="3006" w:type="dxa"/>
            <w:tcBorders>
              <w:top w:val="single" w:sz="6" w:space="0" w:color="D9D9D9"/>
              <w:left w:val="single" w:sz="6" w:space="0" w:color="D9D9D9"/>
              <w:bottom w:val="single" w:sz="6" w:space="0" w:color="D9D9D9"/>
              <w:right w:val="single" w:sz="6" w:space="0" w:color="D9D9D9"/>
            </w:tcBorders>
            <w:shd w:val="clear" w:color="auto" w:fill="ECEFF1"/>
            <w:hideMark/>
          </w:tcPr>
          <w:p w14:paraId="5128F9F0" w14:textId="77777777" w:rsidR="00552814" w:rsidRDefault="00552814">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Prorogation de 3 ans</w:t>
            </w:r>
          </w:p>
        </w:tc>
        <w:tc>
          <w:tcPr>
            <w:tcW w:w="1758" w:type="dxa"/>
            <w:tcBorders>
              <w:top w:val="single" w:sz="6" w:space="0" w:color="D9D9D9"/>
              <w:left w:val="single" w:sz="6" w:space="0" w:color="D9D9D9"/>
              <w:bottom w:val="single" w:sz="6" w:space="0" w:color="D9D9D9"/>
              <w:right w:val="single" w:sz="6" w:space="0" w:color="D9D9D9"/>
            </w:tcBorders>
            <w:hideMark/>
          </w:tcPr>
          <w:p w14:paraId="7A82AFB4" w14:textId="77777777" w:rsidR="00552814" w:rsidRDefault="00552814">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2,50 %</w:t>
            </w:r>
          </w:p>
        </w:tc>
        <w:tc>
          <w:tcPr>
            <w:tcW w:w="1758" w:type="dxa"/>
            <w:tcBorders>
              <w:top w:val="single" w:sz="6" w:space="0" w:color="D9D9D9"/>
              <w:left w:val="single" w:sz="6" w:space="0" w:color="D9D9D9"/>
              <w:bottom w:val="single" w:sz="6" w:space="0" w:color="D9D9D9"/>
              <w:right w:val="single" w:sz="6" w:space="0" w:color="D9D9D9"/>
            </w:tcBorders>
            <w:hideMark/>
          </w:tcPr>
          <w:p w14:paraId="029B8853" w14:textId="77777777" w:rsidR="00552814" w:rsidRDefault="00552814">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2 %</w:t>
            </w:r>
          </w:p>
        </w:tc>
      </w:tr>
    </w:tbl>
    <w:p w14:paraId="5AB3861D" w14:textId="22736D9D" w:rsidR="00552814" w:rsidRDefault="00552814" w:rsidP="00552814">
      <w:pPr>
        <w:pStyle w:val="Intertitre3"/>
      </w:pPr>
      <w:r>
        <w:lastRenderedPageBreak/>
        <w:t>Autres dispositifs de défiscalisation</w:t>
      </w:r>
    </w:p>
    <w:p w14:paraId="4140D828" w14:textId="72151118" w:rsidR="00552814" w:rsidRDefault="00552814" w:rsidP="00552814">
      <w:pPr>
        <w:pStyle w:val="CorpsTexte"/>
      </w:pPr>
      <w:r>
        <w:t>Le dispositif Censi-Bouvard est supprimé à compter du 01/01/2023.</w:t>
      </w:r>
    </w:p>
    <w:p w14:paraId="5C80D610" w14:textId="77777777" w:rsidR="00125F9D" w:rsidRDefault="00125F9D" w:rsidP="006B0889">
      <w:pPr>
        <w:pStyle w:val="Intertitre1"/>
      </w:pPr>
    </w:p>
    <w:p w14:paraId="2C2ED041" w14:textId="1D90F12C" w:rsidR="006B0889" w:rsidRDefault="006B0889" w:rsidP="006B0889">
      <w:pPr>
        <w:pStyle w:val="Intertitre1"/>
      </w:pPr>
      <w:r>
        <w:t>Plus-values immobilières</w:t>
      </w:r>
    </w:p>
    <w:p w14:paraId="1C0A6306" w14:textId="708B79F8" w:rsidR="00125F9D" w:rsidRDefault="00BC4CFC" w:rsidP="0039220F">
      <w:pPr>
        <w:pStyle w:val="CorpsTexte"/>
      </w:pPr>
      <w:r>
        <w:t>La loi de finances pour 2023 instaure une majoration de la surtaxe sur les plus-values immobilières réalisées dans certaines communes situées en Corse. Lorsque les conditions sont réunies, la surtaxe est multipliée par 5.</w:t>
      </w:r>
    </w:p>
    <w:p w14:paraId="084FD71A" w14:textId="55A0FCAD" w:rsidR="00BC4CFC" w:rsidRDefault="00BC4CFC" w:rsidP="00BC4CFC">
      <w:pPr>
        <w:pStyle w:val="Intertitre1"/>
      </w:pPr>
      <w:r>
        <w:t>Transmission du patrimoine</w:t>
      </w:r>
    </w:p>
    <w:p w14:paraId="7E972ABF" w14:textId="44107FC3" w:rsidR="00BC4CFC" w:rsidRDefault="004E6070" w:rsidP="004E6070">
      <w:pPr>
        <w:pStyle w:val="Intertitre2"/>
        <w:numPr>
          <w:ilvl w:val="0"/>
          <w:numId w:val="0"/>
        </w:numPr>
      </w:pPr>
      <w:r>
        <w:t>LF 2023 - Relèvement du seuil d’exonération des biens ruraux loués à long terme ou par bail cessible et parts de GFA</w:t>
      </w:r>
    </w:p>
    <w:p w14:paraId="1EB463AF" w14:textId="09E68CB9" w:rsidR="000D720E" w:rsidRDefault="004E6070" w:rsidP="0039220F">
      <w:pPr>
        <w:pStyle w:val="CorpsTexte"/>
      </w:pPr>
      <w:r>
        <w:t>Le seuil est relevé à 500 000 € au lieu de 300 000 € pour les successions ouvertes et les donations réalisées à compter du 01/01/2023.</w:t>
      </w:r>
      <w:r w:rsidR="00B31BAF">
        <w:t xml:space="preserve"> Cette exonération partielle s’applique sous conditions, </w:t>
      </w:r>
      <w:r w:rsidR="00B31BAF" w:rsidRPr="000D720E">
        <w:rPr>
          <w:rStyle w:val="Accentuation1"/>
        </w:rPr>
        <w:t>en particulier celle de conservation pendant 10 ans des biens transmis</w:t>
      </w:r>
      <w:r w:rsidR="00B31BAF">
        <w:t>.</w:t>
      </w:r>
    </w:p>
    <w:p w14:paraId="40C8A5D8" w14:textId="34403816" w:rsidR="004E6070" w:rsidRDefault="004E6070" w:rsidP="004E6070">
      <w:pPr>
        <w:pStyle w:val="Intertitre2"/>
        <w:numPr>
          <w:ilvl w:val="0"/>
          <w:numId w:val="0"/>
        </w:numPr>
      </w:pPr>
      <w:r>
        <w:t>Paiement différé ou fractionné des droits d’enregistrement</w:t>
      </w:r>
    </w:p>
    <w:p w14:paraId="01AB316C" w14:textId="402D2C85" w:rsidR="004E6070" w:rsidRDefault="004E6070" w:rsidP="004E6070">
      <w:pPr>
        <w:pStyle w:val="CorpsTexte"/>
      </w:pPr>
      <w:r>
        <w:t>Pour les demandes réalisées à compter du 01/01/2023, les taux sont de :</w:t>
      </w:r>
    </w:p>
    <w:p w14:paraId="2011D385" w14:textId="46FAF4A4" w:rsidR="004E6070" w:rsidRDefault="004E6070" w:rsidP="004E6070">
      <w:pPr>
        <w:pStyle w:val="CorpsTexte"/>
        <w:numPr>
          <w:ilvl w:val="0"/>
          <w:numId w:val="39"/>
        </w:numPr>
      </w:pPr>
      <w:r>
        <w:t>1,70 % s’agissant du taux de base (contre 1,20 % en 2022)</w:t>
      </w:r>
    </w:p>
    <w:p w14:paraId="4956DEF5" w14:textId="24880F79" w:rsidR="004E6070" w:rsidRDefault="004E6070" w:rsidP="004E6070">
      <w:pPr>
        <w:pStyle w:val="CorpsTexte"/>
        <w:numPr>
          <w:ilvl w:val="0"/>
          <w:numId w:val="39"/>
        </w:numPr>
      </w:pPr>
      <w:r>
        <w:t>0,50 % s’agissant du taux réduit (contre 0,40 % en 2022)</w:t>
      </w:r>
    </w:p>
    <w:p w14:paraId="2C67EABA" w14:textId="77777777" w:rsidR="004E6070" w:rsidRPr="004E6070" w:rsidRDefault="004E6070" w:rsidP="004E6070">
      <w:pPr>
        <w:pStyle w:val="CorpsTexte"/>
      </w:pPr>
    </w:p>
    <w:p w14:paraId="49FD3C48" w14:textId="77777777" w:rsidR="0065479A" w:rsidRDefault="0065479A">
      <w:pPr>
        <w:rPr>
          <w:rFonts w:ascii="Trebuchet MS" w:eastAsia="Trebuchet MS" w:hAnsi="Trebuchet MS"/>
          <w:b/>
          <w:color w:val="595959"/>
          <w:sz w:val="40"/>
        </w:rPr>
      </w:pPr>
      <w:r>
        <w:br w:type="page"/>
      </w:r>
    </w:p>
    <w:p w14:paraId="20B4E482" w14:textId="33AB06B2" w:rsidR="00124683" w:rsidRDefault="00124683" w:rsidP="00124683">
      <w:pPr>
        <w:pStyle w:val="SousTitreChapitre"/>
        <w:numPr>
          <w:ilvl w:val="0"/>
          <w:numId w:val="0"/>
        </w:numPr>
      </w:pPr>
      <w:r>
        <w:t>Fiscalité des entreprises</w:t>
      </w:r>
      <w:r w:rsidR="006F1B0F">
        <w:t xml:space="preserve"> </w:t>
      </w:r>
      <w:r w:rsidR="00C813E9">
        <w:t>et des professionnels</w:t>
      </w:r>
    </w:p>
    <w:p w14:paraId="5A56EBEB" w14:textId="30BC1BB1" w:rsidR="006F1B0F" w:rsidRDefault="002D4E1A" w:rsidP="006F1B0F">
      <w:pPr>
        <w:pStyle w:val="Intertitre1"/>
      </w:pPr>
      <w:r>
        <w:t xml:space="preserve">LF 2023 - </w:t>
      </w:r>
      <w:r w:rsidR="006F1B0F">
        <w:t>Taux d’IS réduit pour les PME</w:t>
      </w:r>
    </w:p>
    <w:p w14:paraId="21868771" w14:textId="2898483F" w:rsidR="002D4E1A" w:rsidRDefault="004E6070" w:rsidP="00BC4CFC">
      <w:pPr>
        <w:pStyle w:val="CorpsTexte"/>
      </w:pPr>
      <w:r>
        <w:t xml:space="preserve">Le </w:t>
      </w:r>
      <w:r w:rsidR="006F1B0F">
        <w:t>seuil</w:t>
      </w:r>
      <w:r>
        <w:t xml:space="preserve"> d’application du taux d’IS </w:t>
      </w:r>
      <w:r w:rsidR="006F1B0F">
        <w:t xml:space="preserve">réduit (15 %) pour les PME </w:t>
      </w:r>
      <w:r>
        <w:t>est porté à 42 500 € pour les exercices clos à compter du 31/12/2022</w:t>
      </w:r>
      <w:r w:rsidR="006F1B0F">
        <w:t>, contre 38 120 € auparavant.</w:t>
      </w:r>
    </w:p>
    <w:p w14:paraId="71C7EC39" w14:textId="77777777" w:rsidR="00C813E9" w:rsidRDefault="00C813E9" w:rsidP="00C813E9">
      <w:pPr>
        <w:pStyle w:val="CorpsTexte"/>
      </w:pPr>
      <w:r>
        <w:t>Pour rappel, les PME concernées doivent répondre aux conditions suivantes :</w:t>
      </w:r>
    </w:p>
    <w:p w14:paraId="1E68E569" w14:textId="5A42DB37" w:rsidR="00C813E9" w:rsidRDefault="00C813E9" w:rsidP="00C813E9">
      <w:pPr>
        <w:pStyle w:val="Puce1"/>
      </w:pPr>
      <w:r>
        <w:t>Réaliser un</w:t>
      </w:r>
      <w:r>
        <w:t xml:space="preserve"> </w:t>
      </w:r>
      <w:r>
        <w:t>chiffre d’affaires</w:t>
      </w:r>
      <w:r>
        <w:t xml:space="preserve"> HT de moins de 10 000 000 €</w:t>
      </w:r>
    </w:p>
    <w:p w14:paraId="537ED3A7" w14:textId="77777777" w:rsidR="00C813E9" w:rsidRDefault="00C813E9" w:rsidP="00C813E9">
      <w:pPr>
        <w:pStyle w:val="Puce1"/>
      </w:pPr>
      <w:r>
        <w:t>Le capital doit être entièrement libéré</w:t>
      </w:r>
    </w:p>
    <w:p w14:paraId="6E6BBA7F" w14:textId="3520DF65" w:rsidR="00C813E9" w:rsidRDefault="00C813E9" w:rsidP="00C813E9">
      <w:pPr>
        <w:pStyle w:val="Puce1"/>
      </w:pPr>
      <w:r>
        <w:t xml:space="preserve">Le capital doit être détenu pour 75 % au moins par des personnes physiques ou des sociétés, dont le </w:t>
      </w:r>
      <w:r>
        <w:t>chiffre d’affaires</w:t>
      </w:r>
      <w:r>
        <w:t xml:space="preserve"> HT est de moins de 10 000 000 €, dont le capital est libéré et détenu à hauteur de 75 % au moins par des personnes physiques</w:t>
      </w:r>
    </w:p>
    <w:p w14:paraId="460A1C16" w14:textId="26BB1E73" w:rsidR="0065479A" w:rsidRDefault="00C813E9" w:rsidP="0065479A">
      <w:pPr>
        <w:pStyle w:val="Intertitre1"/>
      </w:pPr>
      <w:r>
        <w:t xml:space="preserve">LF 2023 </w:t>
      </w:r>
      <w:r>
        <w:t>–</w:t>
      </w:r>
      <w:r>
        <w:t xml:space="preserve"> </w:t>
      </w:r>
      <w:r>
        <w:t xml:space="preserve">Relèvement des seuils </w:t>
      </w:r>
      <w:r w:rsidR="0065479A">
        <w:t>des régimes micro-BIC, BNC et BA pour la période 01/01/2023 – 31/12/2025</w:t>
      </w:r>
    </w:p>
    <w:p w14:paraId="738BF685" w14:textId="77777777" w:rsidR="0065479A" w:rsidRDefault="0065479A" w:rsidP="0065479A">
      <w:pPr>
        <w:pStyle w:val="CorpsTexte"/>
        <w:spacing w:before="0"/>
      </w:pPr>
    </w:p>
    <w:tbl>
      <w:tblPr>
        <w:tblW w:w="0" w:type="auto"/>
        <w:tblInd w:w="226" w:type="dxa"/>
        <w:tblBorders>
          <w:bottom w:val="single" w:sz="6" w:space="0" w:color="D9D9D9"/>
          <w:right w:val="single" w:sz="6" w:space="0" w:color="D9D9D9"/>
          <w:insideH w:val="single" w:sz="6" w:space="0" w:color="D9D9D9"/>
          <w:insideV w:val="single" w:sz="6" w:space="0" w:color="D9D9D9"/>
        </w:tblBorders>
        <w:tblLayout w:type="fixed"/>
        <w:tblCellMar>
          <w:top w:w="23" w:type="dxa"/>
          <w:left w:w="128" w:type="dxa"/>
          <w:bottom w:w="23" w:type="dxa"/>
          <w:right w:w="128" w:type="dxa"/>
        </w:tblCellMar>
        <w:tblLook w:val="04A0" w:firstRow="1" w:lastRow="0" w:firstColumn="1" w:lastColumn="0" w:noHBand="0" w:noVBand="1"/>
      </w:tblPr>
      <w:tblGrid>
        <w:gridCol w:w="1305"/>
        <w:gridCol w:w="8221"/>
      </w:tblGrid>
      <w:tr w:rsidR="0065479A" w14:paraId="4F12B49D" w14:textId="77777777" w:rsidTr="00511153">
        <w:trPr>
          <w:cantSplit/>
          <w:trHeight w:val="283"/>
          <w:tblHeader/>
        </w:trPr>
        <w:tc>
          <w:tcPr>
            <w:tcW w:w="1305" w:type="dxa"/>
            <w:tcBorders>
              <w:top w:val="nil"/>
              <w:left w:val="nil"/>
              <w:bottom w:val="single" w:sz="6" w:space="0" w:color="D9D9D9"/>
              <w:right w:val="single" w:sz="6" w:space="0" w:color="D9D9D9"/>
            </w:tcBorders>
            <w:shd w:val="clear" w:color="auto" w:fill="577188"/>
            <w:tcMar>
              <w:top w:w="23" w:type="dxa"/>
              <w:left w:w="113" w:type="dxa"/>
              <w:bottom w:w="23" w:type="dxa"/>
              <w:right w:w="128" w:type="dxa"/>
            </w:tcMar>
            <w:vAlign w:val="center"/>
            <w:hideMark/>
          </w:tcPr>
          <w:p w14:paraId="77081782" w14:textId="329495D9" w:rsidR="0065479A" w:rsidRDefault="0065479A" w:rsidP="00E311D0">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left"/>
            </w:pPr>
            <w:r>
              <w:t>Régime</w:t>
            </w:r>
          </w:p>
        </w:tc>
        <w:tc>
          <w:tcPr>
            <w:tcW w:w="8221" w:type="dxa"/>
            <w:tcBorders>
              <w:top w:val="single" w:sz="6" w:space="0" w:color="D9D9D9"/>
              <w:left w:val="single" w:sz="6" w:space="0" w:color="D9D9D9"/>
              <w:bottom w:val="single" w:sz="6" w:space="0" w:color="D9D9D9"/>
              <w:right w:val="single" w:sz="6" w:space="0" w:color="D9D9D9"/>
            </w:tcBorders>
            <w:shd w:val="clear" w:color="auto" w:fill="577188"/>
            <w:vAlign w:val="center"/>
            <w:hideMark/>
          </w:tcPr>
          <w:p w14:paraId="0C7ADDA0" w14:textId="66722EC4" w:rsidR="0065479A" w:rsidRDefault="0065479A" w:rsidP="00E311D0">
            <w:pPr>
              <w:pStyle w:val="TableauLigneTi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Seuils de recettes</w:t>
            </w:r>
            <w:r w:rsidR="009B658F">
              <w:t xml:space="preserve"> annuels</w:t>
            </w:r>
          </w:p>
        </w:tc>
      </w:tr>
      <w:tr w:rsidR="0065479A" w14:paraId="315FAAB9" w14:textId="77777777" w:rsidTr="00511153">
        <w:trPr>
          <w:trHeight w:val="283"/>
        </w:trPr>
        <w:tc>
          <w:tcPr>
            <w:tcW w:w="1305" w:type="dxa"/>
            <w:tcBorders>
              <w:top w:val="single" w:sz="6" w:space="0" w:color="D9D9D9"/>
              <w:left w:val="single" w:sz="6" w:space="0" w:color="D9D9D9"/>
              <w:bottom w:val="single" w:sz="6" w:space="0" w:color="D9D9D9"/>
              <w:right w:val="single" w:sz="6" w:space="0" w:color="D9D9D9"/>
            </w:tcBorders>
            <w:shd w:val="clear" w:color="auto" w:fill="ECEFF1"/>
            <w:hideMark/>
          </w:tcPr>
          <w:p w14:paraId="1BA7D91B" w14:textId="5BA9B711" w:rsidR="0065479A" w:rsidRDefault="0065479A" w:rsidP="00E311D0">
            <w:pPr>
              <w:pStyle w:val="TableauTexteLibelleLigneSurFond"/>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Micro-BIC</w:t>
            </w:r>
          </w:p>
        </w:tc>
        <w:tc>
          <w:tcPr>
            <w:tcW w:w="8221" w:type="dxa"/>
            <w:tcBorders>
              <w:top w:val="single" w:sz="6" w:space="0" w:color="D9D9D9"/>
              <w:left w:val="single" w:sz="6" w:space="0" w:color="D9D9D9"/>
              <w:bottom w:val="single" w:sz="6" w:space="0" w:color="D9D9D9"/>
              <w:right w:val="single" w:sz="6" w:space="0" w:color="D9D9D9"/>
            </w:tcBorders>
          </w:tcPr>
          <w:p w14:paraId="39BC2970" w14:textId="77777777" w:rsidR="009B658F" w:rsidRDefault="0065479A" w:rsidP="00E311D0">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t>Prestations de livraisons de biens</w:t>
            </w:r>
            <w:r w:rsidR="009B658F">
              <w:t xml:space="preserve">, ventes à consommer sur place et hébergement (chambres d’hôtes et gîtes touristiques) : </w:t>
            </w:r>
          </w:p>
          <w:p w14:paraId="6564A48B" w14:textId="77777777" w:rsidR="0065479A" w:rsidRDefault="009B658F" w:rsidP="00E311D0">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rPr>
                <w:rStyle w:val="Accentuation1"/>
              </w:rPr>
            </w:pPr>
            <w:r w:rsidRPr="009B658F">
              <w:rPr>
                <w:rStyle w:val="Accentuation1"/>
              </w:rPr>
              <w:t>188 700 € (au lieu de 176 200 €)</w:t>
            </w:r>
            <w:r>
              <w:br/>
            </w:r>
            <w:r>
              <w:br/>
              <w:t>Autres prestations de services (dont la location meublée) :</w:t>
            </w:r>
            <w:r>
              <w:br/>
            </w:r>
            <w:r w:rsidRPr="009B658F">
              <w:rPr>
                <w:rStyle w:val="Accentuation1"/>
              </w:rPr>
              <w:t>77 700 € (au lieu de 72 600 €)</w:t>
            </w:r>
          </w:p>
          <w:p w14:paraId="1140B422" w14:textId="24D6F43E" w:rsidR="008A75FE" w:rsidRDefault="008A75FE" w:rsidP="00E311D0">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p>
        </w:tc>
      </w:tr>
      <w:tr w:rsidR="0065479A" w14:paraId="6595756C" w14:textId="77777777" w:rsidTr="00511153">
        <w:trPr>
          <w:trHeight w:val="283"/>
        </w:trPr>
        <w:tc>
          <w:tcPr>
            <w:tcW w:w="1305" w:type="dxa"/>
            <w:tcBorders>
              <w:top w:val="single" w:sz="6" w:space="0" w:color="D9D9D9"/>
              <w:left w:val="single" w:sz="6" w:space="0" w:color="D9D9D9"/>
              <w:bottom w:val="single" w:sz="6" w:space="0" w:color="D9D9D9"/>
              <w:right w:val="single" w:sz="6" w:space="0" w:color="D9D9D9"/>
            </w:tcBorders>
            <w:shd w:val="clear" w:color="auto" w:fill="ECEFF1"/>
            <w:hideMark/>
          </w:tcPr>
          <w:p w14:paraId="3E254F5A" w14:textId="4CE3CEDC" w:rsidR="0065479A" w:rsidRDefault="0065479A" w:rsidP="00E311D0">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Micro-BNC</w:t>
            </w:r>
          </w:p>
        </w:tc>
        <w:tc>
          <w:tcPr>
            <w:tcW w:w="8221" w:type="dxa"/>
            <w:tcBorders>
              <w:top w:val="single" w:sz="6" w:space="0" w:color="D9D9D9"/>
              <w:left w:val="single" w:sz="6" w:space="0" w:color="D9D9D9"/>
              <w:bottom w:val="single" w:sz="6" w:space="0" w:color="D9D9D9"/>
              <w:right w:val="single" w:sz="6" w:space="0" w:color="D9D9D9"/>
            </w:tcBorders>
          </w:tcPr>
          <w:p w14:paraId="386208DC" w14:textId="6FBB18D6" w:rsidR="0065479A" w:rsidRDefault="008A75FE" w:rsidP="00E311D0">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rsidRPr="009B658F">
              <w:rPr>
                <w:rStyle w:val="Accentuation1"/>
              </w:rPr>
              <w:t>77 700 € (au lieu de 72 600 €)</w:t>
            </w:r>
          </w:p>
        </w:tc>
      </w:tr>
      <w:tr w:rsidR="0065479A" w14:paraId="2197853D" w14:textId="77777777" w:rsidTr="00511153">
        <w:trPr>
          <w:trHeight w:val="283"/>
        </w:trPr>
        <w:tc>
          <w:tcPr>
            <w:tcW w:w="1305" w:type="dxa"/>
            <w:tcBorders>
              <w:top w:val="single" w:sz="6" w:space="0" w:color="D9D9D9"/>
              <w:left w:val="single" w:sz="6" w:space="0" w:color="D9D9D9"/>
              <w:bottom w:val="single" w:sz="6" w:space="0" w:color="D9D9D9"/>
              <w:right w:val="single" w:sz="6" w:space="0" w:color="D9D9D9"/>
            </w:tcBorders>
            <w:shd w:val="clear" w:color="auto" w:fill="ECEFF1"/>
            <w:hideMark/>
          </w:tcPr>
          <w:p w14:paraId="31C6A174" w14:textId="25CBBF0E" w:rsidR="0065479A" w:rsidRDefault="0065479A" w:rsidP="00E311D0">
            <w:pPr>
              <w:pStyle w:val="TableauTexteLibelleLigneSurFo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pPr>
            <w:r>
              <w:t>Micro-BA</w:t>
            </w:r>
          </w:p>
        </w:tc>
        <w:tc>
          <w:tcPr>
            <w:tcW w:w="8221" w:type="dxa"/>
            <w:tcBorders>
              <w:top w:val="single" w:sz="6" w:space="0" w:color="D9D9D9"/>
              <w:left w:val="single" w:sz="6" w:space="0" w:color="D9D9D9"/>
              <w:bottom w:val="single" w:sz="6" w:space="0" w:color="D9D9D9"/>
              <w:right w:val="single" w:sz="6" w:space="0" w:color="D9D9D9"/>
            </w:tcBorders>
          </w:tcPr>
          <w:p w14:paraId="2C2CA43A" w14:textId="370C58E5" w:rsidR="0065479A" w:rsidRDefault="008A75FE" w:rsidP="00E311D0">
            <w:pPr>
              <w:pStyle w:val="TableauTexteContenus"/>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6" w:lineRule="auto"/>
            </w:pPr>
            <w:r>
              <w:rPr>
                <w:rStyle w:val="Accentuation1"/>
              </w:rPr>
              <w:t>91 900</w:t>
            </w:r>
            <w:r w:rsidRPr="009B658F">
              <w:rPr>
                <w:rStyle w:val="Accentuation1"/>
              </w:rPr>
              <w:t xml:space="preserve"> € (au lieu de </w:t>
            </w:r>
            <w:r>
              <w:rPr>
                <w:rStyle w:val="Accentuation1"/>
              </w:rPr>
              <w:t>85 8</w:t>
            </w:r>
            <w:r w:rsidRPr="009B658F">
              <w:rPr>
                <w:rStyle w:val="Accentuation1"/>
              </w:rPr>
              <w:t>00 €)</w:t>
            </w:r>
          </w:p>
        </w:tc>
      </w:tr>
    </w:tbl>
    <w:p w14:paraId="451EC217" w14:textId="77777777" w:rsidR="00067EFD" w:rsidRDefault="00067EFD" w:rsidP="00067EFD">
      <w:pPr>
        <w:pStyle w:val="CorpsTexte"/>
      </w:pPr>
    </w:p>
    <w:p w14:paraId="769378D2" w14:textId="47C6CDC0" w:rsidR="00067EFD" w:rsidRDefault="00067EFD" w:rsidP="00067EFD">
      <w:pPr>
        <w:pStyle w:val="Intertitre1"/>
      </w:pPr>
      <w:r>
        <w:t>LF 2023 – Cession de patrimoine professionnel</w:t>
      </w:r>
    </w:p>
    <w:p w14:paraId="0E37FD4C" w14:textId="675E3E45" w:rsidR="000D720E" w:rsidRDefault="00067EFD" w:rsidP="00067EFD">
      <w:pPr>
        <w:pStyle w:val="CorpsTexte"/>
      </w:pPr>
      <w:r>
        <w:t>Dans le</w:t>
      </w:r>
      <w:r w:rsidRPr="00067EFD">
        <w:t xml:space="preserve"> cas d</w:t>
      </w:r>
      <w:r>
        <w:t>’une</w:t>
      </w:r>
      <w:r w:rsidRPr="00067EFD">
        <w:t xml:space="preserve"> cession d’un patrimoine professionnel par un entrepreneur individuel soumis à l’impôt sur les sociétés, les droits d’enregistrement dus sont </w:t>
      </w:r>
      <w:r>
        <w:t>identiques à</w:t>
      </w:r>
      <w:r w:rsidRPr="00067EFD">
        <w:t xml:space="preserve"> ceux applicables aux cessions de parts sociales</w:t>
      </w:r>
      <w:r w:rsidR="000D720E">
        <w:t xml:space="preserve"> : taux de 3 % (après abattement de 23 000 €) appliqué à la valeur du patrimoine professionnel cédé. Dans le cas où le patrimoine professionnel cédé est à prépondérance immobilière, le taux est de 5 % (sans abattement). </w:t>
      </w:r>
    </w:p>
    <w:p w14:paraId="27FE1418" w14:textId="77777777" w:rsidR="00067EFD" w:rsidRDefault="00067EFD">
      <w:pPr>
        <w:rPr>
          <w:rFonts w:ascii="Trebuchet MS" w:eastAsia="Trebuchet MS" w:hAnsi="Trebuchet MS"/>
          <w:b/>
          <w:color w:val="577188"/>
          <w:sz w:val="28"/>
        </w:rPr>
      </w:pPr>
      <w:r>
        <w:br w:type="page"/>
      </w:r>
    </w:p>
    <w:p w14:paraId="2E65870E" w14:textId="24F00BB6" w:rsidR="002D4E1A" w:rsidRDefault="00067EFD" w:rsidP="002D4E1A">
      <w:pPr>
        <w:pStyle w:val="Intertitre1"/>
      </w:pPr>
      <w:r>
        <w:t xml:space="preserve">Doctrine de l’administration fiscale - </w:t>
      </w:r>
      <w:r w:rsidR="002D4E1A">
        <w:t>Rémunération des associés de Société d’Exercice libérale (SEL)</w:t>
      </w:r>
    </w:p>
    <w:p w14:paraId="2B6D2588" w14:textId="264B89A1" w:rsidR="002D4E1A" w:rsidRDefault="00E64FE3" w:rsidP="002D4E1A">
      <w:pPr>
        <w:pStyle w:val="CorpsTexte"/>
      </w:pPr>
      <w:r w:rsidRPr="00E64FE3">
        <w:t xml:space="preserve">Le </w:t>
      </w:r>
      <w:proofErr w:type="spellStart"/>
      <w:r w:rsidRPr="00E64FE3">
        <w:t>BOFiP</w:t>
      </w:r>
      <w:proofErr w:type="spellEnd"/>
      <w:r>
        <w:t>,</w:t>
      </w:r>
      <w:r w:rsidRPr="00E64FE3">
        <w:t xml:space="preserve"> dans sa version publiée le 15 décembre 2022</w:t>
      </w:r>
      <w:r>
        <w:t>,</w:t>
      </w:r>
      <w:r w:rsidRPr="00E64FE3">
        <w:t xml:space="preserve"> </w:t>
      </w:r>
      <w:r>
        <w:t>indique</w:t>
      </w:r>
      <w:r w:rsidRPr="00E64FE3">
        <w:t xml:space="preserve"> qu’à compter de l'imposition des revenus de l'année 2023 les rémunérations perçues par les associés d’une société d’exercice libéral (SEL) au titre de l’exercice de leur activité libérale dans cette société doivent en principe être imposées dans la catégorie des </w:t>
      </w:r>
      <w:r>
        <w:t>Bénéfices Non Commerciaux (</w:t>
      </w:r>
      <w:r w:rsidRPr="00E64FE3">
        <w:t>BNC</w:t>
      </w:r>
      <w:r>
        <w:t>)</w:t>
      </w:r>
      <w:r w:rsidRPr="00E64FE3">
        <w:t xml:space="preserve"> en l’absence de lien de subordination entre l’associé et la SEL</w:t>
      </w:r>
      <w:r>
        <w:t>.</w:t>
      </w:r>
      <w:r>
        <w:tab/>
      </w:r>
    </w:p>
    <w:p w14:paraId="37816EDA" w14:textId="77777777" w:rsidR="00E64FE3" w:rsidRDefault="00E64FE3" w:rsidP="00E64FE3">
      <w:pPr>
        <w:pStyle w:val="CorpsTexte"/>
      </w:pPr>
      <w:r>
        <w:t xml:space="preserve">Certains contribuables n’étant pas en mesure de mettre en œuvre ce régime d’imposition en BNC dès le 1er janvier 2023, l’administration fiscale a reporté d’un an l’entrée en vigueur de cette nouvelle doctrine. </w:t>
      </w:r>
    </w:p>
    <w:p w14:paraId="6B303E15" w14:textId="617A9A61" w:rsidR="00E64FE3" w:rsidRDefault="00E64FE3" w:rsidP="00E64FE3">
      <w:pPr>
        <w:pStyle w:val="CorpsTexte"/>
      </w:pPr>
      <w:r>
        <w:t>Elle admet que les associés de SEL restent imposés selon les modalités antérieures lorsque ces contribuables ne sont pas en mesure de se conformer, dès le 1er janvier 2023, au régime d'imposition en BNC c'est-à-dire :</w:t>
      </w:r>
    </w:p>
    <w:p w14:paraId="5E4CF764" w14:textId="066996C6" w:rsidR="00E64FE3" w:rsidRDefault="00E64FE3" w:rsidP="00E64FE3">
      <w:pPr>
        <w:pStyle w:val="Puce1"/>
      </w:pPr>
      <w:r>
        <w:t>dans la catégorie des traitements et salaires sur la base des commentaires doctrinaux dans leur version antérieure à la publication du 15 décembre 2022,</w:t>
      </w:r>
    </w:p>
    <w:p w14:paraId="6AAF998C" w14:textId="7B868572" w:rsidR="00E64FE3" w:rsidRDefault="00E64FE3" w:rsidP="00E64FE3">
      <w:pPr>
        <w:pStyle w:val="Puce1"/>
      </w:pPr>
      <w:r>
        <w:t>ou, pour ce qui concerne les associés gérants majoritaires de SELARL et les associés gérants de SELCA, dans les conditions prévues à l’article 62 du CGI.</w:t>
      </w:r>
    </w:p>
    <w:p w14:paraId="1EEA89FB" w14:textId="4B91195E" w:rsidR="002D4E1A" w:rsidRDefault="00E64FE3" w:rsidP="0065479A">
      <w:pPr>
        <w:pStyle w:val="CorpsTexte"/>
      </w:pPr>
      <w:r>
        <w:t xml:space="preserve">En pratique, la conséquence pour les contribuables concernés sera la perte de l’abattement fiscal de 10 % (plafonné) </w:t>
      </w:r>
      <w:r w:rsidR="0031018E">
        <w:t>applicable à</w:t>
      </w:r>
      <w:r>
        <w:t xml:space="preserve"> la rémunération imposable avant abattement.</w:t>
      </w:r>
    </w:p>
    <w:sectPr w:rsidR="002D4E1A">
      <w:headerReference w:type="default" r:id="rId7"/>
      <w:headerReference w:type="first" r:id="rId8"/>
      <w:footerReference w:type="first" r:id="rId9"/>
      <w:type w:val="continuous"/>
      <w:pgSz w:w="11906" w:h="16838"/>
      <w:pgMar w:top="567" w:right="1134" w:bottom="1417" w:left="1134" w:header="567"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FC33" w14:textId="77777777" w:rsidR="008E6DF9" w:rsidRDefault="00640C6B">
      <w:pPr>
        <w:spacing w:after="0" w:line="240" w:lineRule="auto"/>
      </w:pPr>
      <w:r>
        <w:separator/>
      </w:r>
    </w:p>
  </w:endnote>
  <w:endnote w:type="continuationSeparator" w:id="0">
    <w:p w14:paraId="294D8584" w14:textId="77777777" w:rsidR="008E6DF9" w:rsidRDefault="0064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5A5" w14:textId="77777777" w:rsidR="003C37A8" w:rsidRDefault="003C37A8">
    <w:pPr>
      <w:pStyle w:val="Normal0"/>
      <w:tabs>
        <w:tab w:val="clear" w:pos="10206"/>
        <w:tab w:val="clear" w:pos="11340"/>
        <w:tab w:val="clear" w:pos="12474"/>
        <w:tab w:val="clear" w:pos="13608"/>
        <w:tab w:val="clear" w:pos="14742"/>
        <w:tab w:val="clear" w:pos="15876"/>
        <w:tab w:val="left" w:pos="9637"/>
      </w:tabs>
      <w:spacing w:line="288" w:lineRule="auto"/>
      <w:jc w:val="center"/>
      <w:rPr>
        <w:rFonts w:ascii="Trebuchet MS" w:eastAsia="Trebuchet MS" w:hAnsi="Trebuchet MS"/>
        <w:color w:val="59595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2F86" w14:textId="77777777" w:rsidR="008E6DF9" w:rsidRDefault="00640C6B">
      <w:pPr>
        <w:spacing w:after="0" w:line="240" w:lineRule="auto"/>
      </w:pPr>
      <w:r>
        <w:separator/>
      </w:r>
    </w:p>
  </w:footnote>
  <w:footnote w:type="continuationSeparator" w:id="0">
    <w:p w14:paraId="6ED60F6C" w14:textId="77777777" w:rsidR="008E6DF9" w:rsidRDefault="00640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BFAD" w14:textId="77777777" w:rsidR="003C37A8" w:rsidRDefault="003C37A8">
    <w:pPr>
      <w:pStyle w:val="Normal0"/>
      <w:tabs>
        <w:tab w:val="clear" w:pos="10206"/>
        <w:tab w:val="clear" w:pos="11340"/>
        <w:tab w:val="clear" w:pos="12474"/>
        <w:tab w:val="clear" w:pos="13608"/>
        <w:tab w:val="clear" w:pos="14742"/>
        <w:tab w:val="clear" w:pos="15876"/>
        <w:tab w:val="left" w:pos="9637"/>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495D" w14:textId="77777777" w:rsidR="003C37A8" w:rsidRDefault="003C37A8">
    <w:pPr>
      <w:pStyle w:val="Normal0"/>
      <w:tabs>
        <w:tab w:val="clear" w:pos="10206"/>
        <w:tab w:val="clear" w:pos="11340"/>
        <w:tab w:val="clear" w:pos="12474"/>
        <w:tab w:val="clear" w:pos="13608"/>
        <w:tab w:val="clear" w:pos="14742"/>
        <w:tab w:val="clear" w:pos="15876"/>
        <w:tab w:val="left" w:pos="9637"/>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363" w:hanging="363"/>
      </w:pPr>
      <w:rPr>
        <w:rFonts w:ascii="Symbol" w:hAnsi="Symbol" w:cs="Symbol" w:hint="default"/>
        <w:b w:val="0"/>
        <w:bCs w:val="0"/>
        <w:i w:val="0"/>
        <w:iCs w:val="0"/>
        <w:strike w:val="0"/>
        <w:color w:val="auto"/>
        <w:u w:val="none"/>
      </w:rPr>
    </w:lvl>
    <w:lvl w:ilvl="1">
      <w:start w:val="1"/>
      <w:numFmt w:val="bullet"/>
      <w:lvlText w:val=""/>
      <w:lvlJc w:val="left"/>
      <w:pPr>
        <w:ind w:left="363" w:hanging="363"/>
      </w:pPr>
      <w:rPr>
        <w:rFonts w:ascii="Symbol" w:hAnsi="Symbol" w:cs="Symbol" w:hint="default"/>
        <w:b w:val="0"/>
        <w:bCs w:val="0"/>
        <w:i w:val="0"/>
        <w:iCs w:val="0"/>
        <w:strike w:val="0"/>
        <w:color w:val="auto"/>
        <w:u w:val="none"/>
      </w:rPr>
    </w:lvl>
    <w:lvl w:ilvl="2">
      <w:start w:val="1"/>
      <w:numFmt w:val="bullet"/>
      <w:lvlText w:val=""/>
      <w:lvlJc w:val="left"/>
      <w:pPr>
        <w:ind w:left="363" w:hanging="363"/>
      </w:pPr>
      <w:rPr>
        <w:rFonts w:ascii="Symbol" w:hAnsi="Symbol" w:cs="Symbol" w:hint="default"/>
        <w:b w:val="0"/>
        <w:bCs w:val="0"/>
        <w:i w:val="0"/>
        <w:iCs w:val="0"/>
        <w:strike w:val="0"/>
        <w:color w:val="auto"/>
        <w:u w:val="none"/>
      </w:rPr>
    </w:lvl>
    <w:lvl w:ilvl="3">
      <w:start w:val="1"/>
      <w:numFmt w:val="bullet"/>
      <w:lvlText w:val=""/>
      <w:lvlJc w:val="left"/>
      <w:pPr>
        <w:ind w:left="363" w:hanging="363"/>
      </w:pPr>
      <w:rPr>
        <w:rFonts w:ascii="Symbol" w:hAnsi="Symbol" w:cs="Symbol" w:hint="default"/>
        <w:b w:val="0"/>
        <w:bCs w:val="0"/>
        <w:i w:val="0"/>
        <w:iCs w:val="0"/>
        <w:strike w:val="0"/>
        <w:color w:val="auto"/>
        <w:u w:val="none"/>
      </w:rPr>
    </w:lvl>
    <w:lvl w:ilvl="4">
      <w:start w:val="1"/>
      <w:numFmt w:val="bullet"/>
      <w:lvlText w:val=""/>
      <w:lvlJc w:val="left"/>
      <w:pPr>
        <w:ind w:left="363" w:hanging="363"/>
      </w:pPr>
      <w:rPr>
        <w:rFonts w:ascii="Symbol" w:hAnsi="Symbol" w:cs="Symbol" w:hint="default"/>
        <w:b w:val="0"/>
        <w:bCs w:val="0"/>
        <w:i w:val="0"/>
        <w:iCs w:val="0"/>
        <w:strike w:val="0"/>
        <w:color w:val="auto"/>
        <w:u w:val="none"/>
      </w:rPr>
    </w:lvl>
    <w:lvl w:ilvl="5">
      <w:start w:val="1"/>
      <w:numFmt w:val="bullet"/>
      <w:lvlText w:val=""/>
      <w:lvlJc w:val="left"/>
      <w:pPr>
        <w:ind w:left="366" w:hanging="363"/>
      </w:pPr>
      <w:rPr>
        <w:rFonts w:ascii="Symbol" w:hAnsi="Symbol" w:cs="Symbol" w:hint="default"/>
        <w:b w:val="0"/>
        <w:bCs w:val="0"/>
        <w:i w:val="0"/>
        <w:iCs w:val="0"/>
        <w:strike w:val="0"/>
        <w:color w:val="auto"/>
        <w:u w:val="none"/>
      </w:rPr>
    </w:lvl>
    <w:lvl w:ilvl="6">
      <w:start w:val="1"/>
      <w:numFmt w:val="bullet"/>
      <w:lvlText w:val=""/>
      <w:lvlJc w:val="left"/>
      <w:pPr>
        <w:ind w:left="726" w:hanging="363"/>
      </w:pPr>
      <w:rPr>
        <w:rFonts w:ascii="Symbol" w:hAnsi="Symbol" w:cs="Symbol" w:hint="default"/>
        <w:b w:val="0"/>
        <w:bCs w:val="0"/>
        <w:i w:val="0"/>
        <w:iCs w:val="0"/>
        <w:strike w:val="0"/>
        <w:color w:val="auto"/>
        <w:u w:val="none"/>
      </w:rPr>
    </w:lvl>
    <w:lvl w:ilvl="7">
      <w:start w:val="1"/>
      <w:numFmt w:val="bullet"/>
      <w:lvlText w:val=""/>
      <w:lvlJc w:val="left"/>
      <w:pPr>
        <w:ind w:left="1086" w:hanging="363"/>
      </w:pPr>
      <w:rPr>
        <w:rFonts w:ascii="Symbol" w:hAnsi="Symbol" w:cs="Symbol" w:hint="default"/>
        <w:b w:val="0"/>
        <w:bCs w:val="0"/>
        <w:i w:val="0"/>
        <w:iCs w:val="0"/>
        <w:strike w:val="0"/>
        <w:color w:val="auto"/>
        <w:u w:val="none"/>
      </w:rPr>
    </w:lvl>
    <w:lvl w:ilvl="8">
      <w:start w:val="1"/>
      <w:numFmt w:val="bullet"/>
      <w:lvlText w:val=""/>
      <w:lvlJc w:val="left"/>
      <w:pPr>
        <w:ind w:left="1446" w:hanging="363"/>
      </w:pPr>
      <w:rPr>
        <w:rFonts w:ascii="Symbol" w:hAnsi="Symbol" w:cs="Symbol" w:hint="default"/>
        <w:b w:val="0"/>
        <w:bCs w:val="0"/>
        <w:i w:val="0"/>
        <w:iCs w:val="0"/>
        <w:strike w:val="0"/>
        <w:color w:val="auto"/>
        <w:u w:val="none"/>
      </w:rPr>
    </w:lvl>
  </w:abstractNum>
  <w:abstractNum w:abstractNumId="1" w15:restartNumberingAfterBreak="0">
    <w:nsid w:val="00000008"/>
    <w:multiLevelType w:val="multilevel"/>
    <w:tmpl w:val="00000008"/>
    <w:lvl w:ilvl="0">
      <w:start w:val="1"/>
      <w:numFmt w:val="bullet"/>
      <w:suff w:val="nothing"/>
      <w:lvlText w:val=""/>
      <w:lvlJc w:val="left"/>
      <w:rPr>
        <w:rFonts w:ascii="Symbol" w:hAnsi="Symbol" w:cs="Symbol" w:hint="default"/>
        <w:b w:val="0"/>
        <w:bCs w:val="0"/>
        <w:i w:val="0"/>
        <w:iCs w:val="0"/>
        <w:strike w:val="0"/>
        <w:color w:val="auto"/>
        <w:u w:val="none"/>
      </w:rPr>
    </w:lvl>
    <w:lvl w:ilvl="1">
      <w:start w:val="1"/>
      <w:numFmt w:val="bullet"/>
      <w:suff w:val="nothing"/>
      <w:lvlText w:val=""/>
      <w:lvlJc w:val="left"/>
      <w:rPr>
        <w:rFonts w:ascii="Symbol" w:hAnsi="Symbol" w:cs="Symbol" w:hint="default"/>
        <w:b w:val="0"/>
        <w:bCs w:val="0"/>
        <w:i w:val="0"/>
        <w:iCs w:val="0"/>
        <w:strike w:val="0"/>
        <w:color w:val="auto"/>
        <w:u w:val="none"/>
      </w:rPr>
    </w:lvl>
    <w:lvl w:ilvl="2">
      <w:start w:val="1"/>
      <w:numFmt w:val="bullet"/>
      <w:suff w:val="nothing"/>
      <w:lvlText w:val=""/>
      <w:lvlJc w:val="left"/>
      <w:rPr>
        <w:rFonts w:ascii="Symbol" w:hAnsi="Symbol" w:cs="Symbol" w:hint="default"/>
        <w:b w:val="0"/>
        <w:bCs w:val="0"/>
        <w:i w:val="0"/>
        <w:iCs w:val="0"/>
        <w:strike w:val="0"/>
        <w:color w:val="auto"/>
        <w:u w:val="none"/>
      </w:rPr>
    </w:lvl>
    <w:lvl w:ilvl="3">
      <w:start w:val="1"/>
      <w:numFmt w:val="bullet"/>
      <w:suff w:val="nothing"/>
      <w:lvlText w:val=""/>
      <w:lvlJc w:val="left"/>
      <w:rPr>
        <w:rFonts w:ascii="Symbol" w:hAnsi="Symbol" w:cs="Symbol" w:hint="default"/>
        <w:b w:val="0"/>
        <w:bCs w:val="0"/>
        <w:i w:val="0"/>
        <w:iCs w:val="0"/>
        <w:strike w:val="0"/>
        <w:color w:val="auto"/>
        <w:u w:val="none"/>
      </w:rPr>
    </w:lvl>
    <w:lvl w:ilvl="4">
      <w:start w:val="1"/>
      <w:numFmt w:val="bullet"/>
      <w:suff w:val="nothing"/>
      <w:lvlText w:val=""/>
      <w:lvlJc w:val="left"/>
      <w:rPr>
        <w:rFonts w:ascii="Symbol" w:hAnsi="Symbol" w:cs="Symbol" w:hint="default"/>
        <w:b w:val="0"/>
        <w:bCs w:val="0"/>
        <w:i w:val="0"/>
        <w:iCs w:val="0"/>
        <w:strike w:val="0"/>
        <w:color w:val="auto"/>
        <w:u w:val="none"/>
      </w:rPr>
    </w:lvl>
    <w:lvl w:ilvl="5">
      <w:start w:val="1"/>
      <w:numFmt w:val="bullet"/>
      <w:suff w:val="nothing"/>
      <w:lvlText w:val=""/>
      <w:lvlJc w:val="left"/>
      <w:rPr>
        <w:rFonts w:ascii="Symbol" w:hAnsi="Symbol" w:cs="Symbol" w:hint="default"/>
        <w:b w:val="0"/>
        <w:bCs w:val="0"/>
        <w:i w:val="0"/>
        <w:iCs w:val="0"/>
        <w:strike w:val="0"/>
        <w:color w:val="auto"/>
        <w:u w:val="none"/>
      </w:rPr>
    </w:lvl>
    <w:lvl w:ilvl="6">
      <w:start w:val="1"/>
      <w:numFmt w:val="bullet"/>
      <w:suff w:val="nothing"/>
      <w:lvlText w:val=""/>
      <w:lvlJc w:val="left"/>
      <w:rPr>
        <w:rFonts w:ascii="Symbol" w:hAnsi="Symbol" w:cs="Symbol" w:hint="default"/>
        <w:b w:val="0"/>
        <w:bCs w:val="0"/>
        <w:i w:val="0"/>
        <w:iCs w:val="0"/>
        <w:strike w:val="0"/>
        <w:color w:val="auto"/>
        <w:u w:val="none"/>
      </w:rPr>
    </w:lvl>
    <w:lvl w:ilvl="7">
      <w:start w:val="1"/>
      <w:numFmt w:val="bullet"/>
      <w:suff w:val="nothing"/>
      <w:lvlText w:val=""/>
      <w:lvlJc w:val="left"/>
      <w:rPr>
        <w:rFonts w:ascii="Symbol" w:hAnsi="Symbol" w:cs="Symbol" w:hint="default"/>
        <w:b w:val="0"/>
        <w:bCs w:val="0"/>
        <w:i w:val="0"/>
        <w:iCs w:val="0"/>
        <w:strike w:val="0"/>
        <w:color w:val="auto"/>
        <w:u w:val="none"/>
      </w:rPr>
    </w:lvl>
    <w:lvl w:ilvl="8">
      <w:start w:val="1"/>
      <w:numFmt w:val="bullet"/>
      <w:suff w:val="nothing"/>
      <w:lvlText w:val=""/>
      <w:lvlJc w:val="left"/>
      <w:rPr>
        <w:rFonts w:ascii="Symbol" w:hAnsi="Symbol" w:cs="Symbol" w:hint="default"/>
        <w:b w:val="0"/>
        <w:bCs w:val="0"/>
        <w:i w:val="0"/>
        <w:iCs w:val="0"/>
        <w:strike w:val="0"/>
        <w:color w:val="auto"/>
        <w:u w:val="none"/>
      </w:rPr>
    </w:lvl>
  </w:abstractNum>
  <w:abstractNum w:abstractNumId="2" w15:restartNumberingAfterBreak="0">
    <w:nsid w:val="010A1BE2"/>
    <w:multiLevelType w:val="multilevel"/>
    <w:tmpl w:val="A36A9372"/>
    <w:lvl w:ilvl="0">
      <w:start w:val="1"/>
      <w:numFmt w:val="bullet"/>
      <w:lvlText w:val=""/>
      <w:lvlJc w:val="left"/>
      <w:pPr>
        <w:tabs>
          <w:tab w:val="num" w:pos="360"/>
        </w:tabs>
        <w:ind w:left="360" w:hanging="360"/>
      </w:pPr>
    </w:lvl>
    <w:lvl w:ilvl="1">
      <w:start w:val="1"/>
      <w:numFmt w:val="bullet"/>
      <w:pStyle w:val="SousTitreChapitre"/>
      <w:suff w:val="nothing"/>
      <w:lvlText w:val=""/>
      <w:lvlJc w:val="left"/>
      <w:rPr>
        <w:rFonts w:ascii="Symbol" w:eastAsia="Symbol" w:hAnsi="Symbol" w:hint="default"/>
        <w:b/>
        <w:i w:val="0"/>
        <w:strike w:val="0"/>
        <w:color w:val="595959"/>
        <w:position w:val="0"/>
        <w:sz w:val="2"/>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3" w15:restartNumberingAfterBreak="0">
    <w:nsid w:val="02937B82"/>
    <w:multiLevelType w:val="multilevel"/>
    <w:tmpl w:val="E572FEF4"/>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pStyle w:val="Intertitre3"/>
      <w:suff w:val="nothing"/>
      <w:lvlText w:val=""/>
      <w:lvlJc w:val="left"/>
      <w:rPr>
        <w:rFonts w:ascii="Symbol" w:eastAsia="Symbol" w:hAnsi="Symbol" w:hint="default"/>
        <w:b w:val="0"/>
        <w:i w:val="0"/>
        <w:strike w:val="0"/>
        <w:color w:val="577188"/>
        <w:position w:val="0"/>
        <w:sz w:val="2"/>
        <w:u w:val="none"/>
        <w:shd w:val="clear" w:color="auto" w:fill="auto"/>
      </w:r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4" w15:restartNumberingAfterBreak="0">
    <w:nsid w:val="11BA46FB"/>
    <w:multiLevelType w:val="multilevel"/>
    <w:tmpl w:val="79A0631A"/>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pStyle w:val="Intertitre1"/>
      <w:suff w:val="nothing"/>
      <w:lvlText w:val=""/>
      <w:lvlJc w:val="left"/>
      <w:rPr>
        <w:rFonts w:ascii="Symbol" w:eastAsia="Symbol" w:hAnsi="Symbol" w:hint="default"/>
        <w:b/>
        <w:i w:val="0"/>
        <w:strike w:val="0"/>
        <w:color w:val="577188"/>
        <w:position w:val="0"/>
        <w:sz w:val="2"/>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5" w15:restartNumberingAfterBreak="0">
    <w:nsid w:val="1FE53BB5"/>
    <w:multiLevelType w:val="multilevel"/>
    <w:tmpl w:val="A28ECF6C"/>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pStyle w:val="Puce2"/>
      <w:lvlText w:val=""/>
      <w:lvlJc w:val="left"/>
      <w:pPr>
        <w:tabs>
          <w:tab w:val="num" w:pos="1089"/>
        </w:tabs>
        <w:ind w:left="1089" w:hanging="363"/>
      </w:pPr>
      <w:rPr>
        <w:rFonts w:ascii="Symbol" w:eastAsia="Symbol" w:hAnsi="Symbol" w:hint="default"/>
        <w:b w:val="0"/>
        <w:i w:val="0"/>
        <w:strike w:val="0"/>
        <w:color w:val="595959"/>
        <w:position w:val="0"/>
        <w:sz w:val="21"/>
        <w:u w:val="none"/>
        <w:shd w:val="clear" w:color="auto" w:fill="auto"/>
      </w:rPr>
    </w:lvl>
    <w:lvl w:ilvl="8">
      <w:start w:val="1"/>
      <w:numFmt w:val="bullet"/>
      <w:lvlText w:val=""/>
      <w:lvlJc w:val="left"/>
      <w:pPr>
        <w:tabs>
          <w:tab w:val="num" w:pos="3240"/>
        </w:tabs>
        <w:ind w:left="3240" w:hanging="360"/>
      </w:pPr>
    </w:lvl>
  </w:abstractNum>
  <w:abstractNum w:abstractNumId="6" w15:restartNumberingAfterBreak="0">
    <w:nsid w:val="25D92E95"/>
    <w:multiLevelType w:val="multilevel"/>
    <w:tmpl w:val="96549A20"/>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726"/>
        </w:tabs>
        <w:ind w:left="726" w:hanging="363"/>
      </w:pPr>
      <w:rPr>
        <w:rFonts w:ascii="Symbol" w:eastAsia="Symbol" w:hAnsi="Symbol" w:hint="default"/>
        <w:b w:val="0"/>
        <w:i w:val="0"/>
        <w:strike w:val="0"/>
        <w:color w:val="595959"/>
        <w:position w:val="0"/>
        <w:sz w:val="21"/>
        <w:u w:val="none"/>
        <w:shd w:val="clear" w:color="auto" w:fill="auto"/>
      </w:r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7" w15:restartNumberingAfterBreak="0">
    <w:nsid w:val="29A678A8"/>
    <w:multiLevelType w:val="multilevel"/>
    <w:tmpl w:val="19D43A9C"/>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363"/>
        </w:tabs>
        <w:ind w:left="363" w:hanging="363"/>
      </w:pPr>
      <w:rPr>
        <w:rFonts w:ascii="Symbol" w:eastAsia="Symbol" w:hAnsi="Symbol" w:hint="default"/>
        <w:b/>
        <w:i w:val="0"/>
        <w:strike w:val="0"/>
        <w:color w:val="1D3461"/>
        <w:position w:val="0"/>
        <w:sz w:val="21"/>
        <w:u w:val="none"/>
        <w:shd w:val="clear" w:color="auto" w:fill="auto"/>
      </w:r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8" w15:restartNumberingAfterBreak="0">
    <w:nsid w:val="2E8978F9"/>
    <w:multiLevelType w:val="multilevel"/>
    <w:tmpl w:val="659466CE"/>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pStyle w:val="Intertitre4"/>
      <w:lvlText w:val=""/>
      <w:lvlJc w:val="left"/>
      <w:pPr>
        <w:tabs>
          <w:tab w:val="num" w:pos="363"/>
        </w:tabs>
        <w:ind w:left="363" w:hanging="363"/>
      </w:pPr>
      <w:rPr>
        <w:rFonts w:ascii="Symbol" w:eastAsia="Symbol" w:hAnsi="Symbol" w:hint="default"/>
        <w:b w:val="0"/>
        <w:i w:val="0"/>
        <w:strike w:val="0"/>
        <w:color w:val="1D3461"/>
        <w:position w:val="0"/>
        <w:sz w:val="21"/>
        <w:u w:val="none"/>
        <w:shd w:val="clear" w:color="auto" w:fill="auto"/>
      </w:r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9" w15:restartNumberingAfterBreak="0">
    <w:nsid w:val="33324A2B"/>
    <w:multiLevelType w:val="multilevel"/>
    <w:tmpl w:val="3AD425AE"/>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pStyle w:val="Intertitre2"/>
      <w:suff w:val="nothing"/>
      <w:lvlText w:val=""/>
      <w:lvlJc w:val="left"/>
      <w:rPr>
        <w:rFonts w:ascii="Symbol" w:eastAsia="Symbol" w:hAnsi="Symbol" w:hint="default"/>
        <w:b/>
        <w:i w:val="0"/>
        <w:strike w:val="0"/>
        <w:color w:val="1D3461"/>
        <w:position w:val="0"/>
        <w:sz w:val="2"/>
        <w:u w:val="none"/>
        <w:shd w:val="clear" w:color="auto" w:fill="auto"/>
      </w:r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0" w15:restartNumberingAfterBreak="0">
    <w:nsid w:val="35497C54"/>
    <w:multiLevelType w:val="multilevel"/>
    <w:tmpl w:val="F1108DE2"/>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726"/>
        </w:tabs>
        <w:ind w:left="726" w:hanging="363"/>
      </w:pPr>
      <w:rPr>
        <w:rFonts w:ascii="Symbol" w:eastAsia="Symbol" w:hAnsi="Symbol" w:hint="default"/>
        <w:b w:val="0"/>
        <w:i w:val="0"/>
        <w:strike w:val="0"/>
        <w:dstrike w:val="0"/>
        <w:color w:val="595959"/>
        <w:position w:val="0"/>
        <w:sz w:val="21"/>
        <w:u w:val="none"/>
        <w:effect w:val="none"/>
      </w:r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1" w15:restartNumberingAfterBreak="0">
    <w:nsid w:val="36C1413E"/>
    <w:multiLevelType w:val="singleLevel"/>
    <w:tmpl w:val="47C82C5A"/>
    <w:lvl w:ilvl="0">
      <w:start w:val="1"/>
      <w:numFmt w:val="bullet"/>
      <w:pStyle w:val="TitreChapitre"/>
      <w:suff w:val="nothing"/>
      <w:lvlText w:val=""/>
      <w:lvlJc w:val="left"/>
      <w:rPr>
        <w:rFonts w:ascii="Symbol" w:eastAsia="Symbol" w:hAnsi="Symbol" w:hint="default"/>
        <w:b/>
        <w:i w:val="0"/>
        <w:strike w:val="0"/>
        <w:color w:val="577188"/>
        <w:position w:val="0"/>
        <w:sz w:val="2"/>
        <w:u w:val="none"/>
        <w:shd w:val="clear" w:color="auto" w:fill="auto"/>
      </w:rPr>
    </w:lvl>
  </w:abstractNum>
  <w:abstractNum w:abstractNumId="12" w15:restartNumberingAfterBreak="0">
    <w:nsid w:val="3F642C8B"/>
    <w:multiLevelType w:val="multilevel"/>
    <w:tmpl w:val="319CB7C0"/>
    <w:lvl w:ilvl="0">
      <w:start w:val="1"/>
      <w:numFmt w:val="bullet"/>
      <w:suff w:val="nothing"/>
      <w:lvlText w:val=""/>
      <w:lvlJc w:val="left"/>
      <w:rPr>
        <w:rFonts w:ascii="Symbol" w:eastAsia="Symbol" w:hAnsi="Symbol" w:hint="default"/>
        <w:b/>
        <w:i w:val="0"/>
        <w:strike w:val="0"/>
        <w:color w:val="577188"/>
        <w:position w:val="0"/>
        <w:sz w:val="2"/>
        <w:u w:val="none"/>
        <w:shd w:val="clear" w:color="auto" w:fill="auto"/>
      </w:rPr>
    </w:lvl>
    <w:lvl w:ilvl="1">
      <w:start w:val="1"/>
      <w:numFmt w:val="bullet"/>
      <w:suff w:val="nothing"/>
      <w:lvlText w:val=""/>
      <w:lvlJc w:val="left"/>
      <w:rPr>
        <w:rFonts w:ascii="Symbol" w:eastAsia="Symbol" w:hAnsi="Symbol" w:hint="default"/>
        <w:b/>
        <w:i w:val="0"/>
        <w:strike w:val="0"/>
        <w:color w:val="595959"/>
        <w:position w:val="0"/>
        <w:sz w:val="2"/>
        <w:u w:val="none"/>
        <w:shd w:val="clear" w:color="auto" w:fill="auto"/>
      </w:rPr>
    </w:lvl>
    <w:lvl w:ilvl="2">
      <w:start w:val="1"/>
      <w:numFmt w:val="bullet"/>
      <w:suff w:val="nothing"/>
      <w:lvlText w:val=""/>
      <w:lvlJc w:val="left"/>
      <w:rPr>
        <w:rFonts w:ascii="Symbol" w:eastAsia="Symbol" w:hAnsi="Symbol" w:hint="default"/>
        <w:b/>
        <w:i w:val="0"/>
        <w:strike w:val="0"/>
        <w:color w:val="577188"/>
        <w:position w:val="0"/>
        <w:sz w:val="2"/>
        <w:u w:val="none"/>
        <w:shd w:val="clear" w:color="auto" w:fill="auto"/>
      </w:rPr>
    </w:lvl>
    <w:lvl w:ilvl="3">
      <w:start w:val="1"/>
      <w:numFmt w:val="bullet"/>
      <w:suff w:val="nothing"/>
      <w:lvlText w:val=""/>
      <w:lvlJc w:val="left"/>
      <w:rPr>
        <w:rFonts w:ascii="Symbol" w:eastAsia="Symbol" w:hAnsi="Symbol" w:hint="default"/>
        <w:b/>
        <w:i w:val="0"/>
        <w:strike w:val="0"/>
        <w:color w:val="1D3461"/>
        <w:position w:val="0"/>
        <w:sz w:val="2"/>
        <w:u w:val="none"/>
        <w:shd w:val="clear" w:color="auto" w:fill="auto"/>
      </w:rPr>
    </w:lvl>
    <w:lvl w:ilvl="4">
      <w:start w:val="1"/>
      <w:numFmt w:val="bullet"/>
      <w:suff w:val="nothing"/>
      <w:lvlText w:val=""/>
      <w:lvlJc w:val="left"/>
      <w:rPr>
        <w:rFonts w:ascii="Symbol" w:eastAsia="Symbol" w:hAnsi="Symbol" w:hint="default"/>
        <w:b w:val="0"/>
        <w:i w:val="0"/>
        <w:strike w:val="0"/>
        <w:color w:val="577188"/>
        <w:position w:val="0"/>
        <w:sz w:val="2"/>
        <w:u w:val="none"/>
        <w:shd w:val="clear" w:color="auto" w:fill="auto"/>
      </w:rPr>
    </w:lvl>
    <w:lvl w:ilvl="5">
      <w:start w:val="1"/>
      <w:numFmt w:val="bullet"/>
      <w:lvlText w:val=""/>
      <w:lvlJc w:val="left"/>
      <w:pPr>
        <w:tabs>
          <w:tab w:val="num" w:pos="2160"/>
        </w:tabs>
        <w:ind w:left="2160" w:hanging="360"/>
      </w:pPr>
    </w:lvl>
    <w:lvl w:ilvl="6">
      <w:start w:val="1"/>
      <w:numFmt w:val="bullet"/>
      <w:lvlText w:val=""/>
      <w:lvlJc w:val="left"/>
      <w:pPr>
        <w:tabs>
          <w:tab w:val="num" w:pos="726"/>
        </w:tabs>
        <w:ind w:left="726" w:hanging="363"/>
      </w:pPr>
      <w:rPr>
        <w:rFonts w:ascii="Symbol" w:eastAsia="Symbol" w:hAnsi="Symbol" w:hint="default"/>
        <w:b w:val="0"/>
        <w:i w:val="0"/>
        <w:strike w:val="0"/>
        <w:color w:val="595959"/>
        <w:position w:val="0"/>
        <w:sz w:val="21"/>
        <w:u w:val="none"/>
        <w:shd w:val="clear" w:color="auto" w:fill="auto"/>
      </w:rPr>
    </w:lvl>
    <w:lvl w:ilvl="7">
      <w:start w:val="1"/>
      <w:numFmt w:val="bullet"/>
      <w:lvlText w:val=""/>
      <w:lvlJc w:val="left"/>
      <w:pPr>
        <w:tabs>
          <w:tab w:val="num" w:pos="1089"/>
        </w:tabs>
        <w:ind w:left="1089" w:hanging="363"/>
      </w:pPr>
      <w:rPr>
        <w:rFonts w:ascii="Symbol" w:eastAsia="Symbol" w:hAnsi="Symbol" w:hint="default"/>
        <w:b w:val="0"/>
        <w:i w:val="0"/>
        <w:strike w:val="0"/>
        <w:color w:val="595959"/>
        <w:position w:val="0"/>
        <w:sz w:val="21"/>
        <w:u w:val="none"/>
        <w:shd w:val="clear" w:color="auto" w:fill="auto"/>
      </w:rPr>
    </w:lvl>
    <w:lvl w:ilvl="8">
      <w:start w:val="1"/>
      <w:numFmt w:val="bullet"/>
      <w:lvlText w:val=""/>
      <w:lvlJc w:val="left"/>
      <w:pPr>
        <w:tabs>
          <w:tab w:val="num" w:pos="3240"/>
        </w:tabs>
        <w:ind w:left="3240" w:hanging="360"/>
      </w:pPr>
    </w:lvl>
  </w:abstractNum>
  <w:abstractNum w:abstractNumId="13" w15:restartNumberingAfterBreak="0">
    <w:nsid w:val="591F5593"/>
    <w:multiLevelType w:val="hybridMultilevel"/>
    <w:tmpl w:val="5D0E4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05317F"/>
    <w:multiLevelType w:val="multilevel"/>
    <w:tmpl w:val="384C031E"/>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pStyle w:val="Puce3"/>
      <w:lvlText w:val=""/>
      <w:lvlJc w:val="left"/>
      <w:pPr>
        <w:tabs>
          <w:tab w:val="num" w:pos="1452"/>
        </w:tabs>
        <w:ind w:left="1452" w:hanging="363"/>
      </w:pPr>
      <w:rPr>
        <w:rFonts w:ascii="Symbol" w:eastAsia="Symbol" w:hAnsi="Symbol" w:hint="default"/>
        <w:b w:val="0"/>
        <w:i w:val="0"/>
        <w:strike w:val="0"/>
        <w:color w:val="595959"/>
        <w:position w:val="0"/>
        <w:sz w:val="21"/>
        <w:u w:val="none"/>
        <w:shd w:val="clear" w:color="auto" w:fill="auto"/>
      </w:rPr>
    </w:lvl>
  </w:abstractNum>
  <w:abstractNum w:abstractNumId="15" w15:restartNumberingAfterBreak="0">
    <w:nsid w:val="5C4F15D4"/>
    <w:multiLevelType w:val="multilevel"/>
    <w:tmpl w:val="254C3F1C"/>
    <w:lvl w:ilvl="0">
      <w:start w:val="1"/>
      <w:numFmt w:val="bullet"/>
      <w:lvlText w:val=""/>
      <w:lvlJc w:val="left"/>
      <w:pPr>
        <w:tabs>
          <w:tab w:val="num" w:pos="360"/>
        </w:tabs>
        <w:ind w:left="360" w:hanging="360"/>
      </w:pPr>
    </w:lvl>
    <w:lvl w:ilvl="1">
      <w:start w:val="1"/>
      <w:numFmt w:val="bullet"/>
      <w:suff w:val="nothing"/>
      <w:lvlText w:val=""/>
      <w:lvlJc w:val="left"/>
      <w:pPr>
        <w:ind w:left="0" w:firstLine="0"/>
      </w:pPr>
      <w:rPr>
        <w:rFonts w:ascii="Symbol" w:eastAsia="Symbol" w:hAnsi="Symbol" w:hint="default"/>
        <w:b/>
        <w:i w:val="0"/>
        <w:strike w:val="0"/>
        <w:dstrike w:val="0"/>
        <w:color w:val="595959"/>
        <w:position w:val="0"/>
        <w:sz w:val="2"/>
        <w:u w:val="none"/>
        <w:effect w:val="none"/>
      </w:rPr>
    </w:lvl>
    <w:lvl w:ilvl="2">
      <w:start w:val="1"/>
      <w:numFmt w:val="bullet"/>
      <w:suff w:val="nothing"/>
      <w:lvlText w:val=""/>
      <w:lvlJc w:val="left"/>
      <w:pPr>
        <w:ind w:left="0" w:firstLine="0"/>
      </w:pPr>
      <w:rPr>
        <w:rFonts w:ascii="Symbol" w:eastAsia="Symbol" w:hAnsi="Symbol" w:hint="default"/>
        <w:b/>
        <w:i w:val="0"/>
        <w:strike w:val="0"/>
        <w:dstrike w:val="0"/>
        <w:color w:val="577188"/>
        <w:position w:val="0"/>
        <w:sz w:val="2"/>
        <w:u w:val="none"/>
        <w:effect w:val="none"/>
      </w:rPr>
    </w:lvl>
    <w:lvl w:ilvl="3">
      <w:start w:val="1"/>
      <w:numFmt w:val="bullet"/>
      <w:suff w:val="nothing"/>
      <w:lvlText w:val=""/>
      <w:lvlJc w:val="left"/>
      <w:pPr>
        <w:ind w:left="0" w:firstLine="0"/>
      </w:pPr>
      <w:rPr>
        <w:rFonts w:ascii="Symbol" w:eastAsia="Symbol" w:hAnsi="Symbol" w:hint="default"/>
        <w:b/>
        <w:i w:val="0"/>
        <w:strike w:val="0"/>
        <w:dstrike w:val="0"/>
        <w:color w:val="1D3461"/>
        <w:position w:val="0"/>
        <w:sz w:val="2"/>
        <w:u w:val="none"/>
        <w:effect w:val="none"/>
      </w:rPr>
    </w:lvl>
    <w:lvl w:ilvl="4">
      <w:start w:val="1"/>
      <w:numFmt w:val="bullet"/>
      <w:suff w:val="nothing"/>
      <w:lvlText w:val=""/>
      <w:lvlJc w:val="left"/>
      <w:pPr>
        <w:ind w:left="0" w:firstLine="0"/>
      </w:pPr>
      <w:rPr>
        <w:rFonts w:ascii="Symbol" w:eastAsia="Symbol" w:hAnsi="Symbol" w:hint="default"/>
        <w:b w:val="0"/>
        <w:i w:val="0"/>
        <w:strike w:val="0"/>
        <w:dstrike w:val="0"/>
        <w:color w:val="577188"/>
        <w:position w:val="0"/>
        <w:sz w:val="2"/>
        <w:u w:val="none"/>
        <w:effect w:val="none"/>
      </w:rPr>
    </w:lvl>
    <w:lvl w:ilvl="5">
      <w:start w:val="1"/>
      <w:numFmt w:val="bullet"/>
      <w:lvlText w:val=""/>
      <w:lvlJc w:val="left"/>
      <w:pPr>
        <w:tabs>
          <w:tab w:val="num" w:pos="2160"/>
        </w:tabs>
        <w:ind w:left="2160" w:hanging="360"/>
      </w:pPr>
    </w:lvl>
    <w:lvl w:ilvl="6">
      <w:start w:val="1"/>
      <w:numFmt w:val="bullet"/>
      <w:lvlText w:val=""/>
      <w:lvlJc w:val="left"/>
      <w:pPr>
        <w:tabs>
          <w:tab w:val="num" w:pos="726"/>
        </w:tabs>
        <w:ind w:left="726" w:hanging="363"/>
      </w:pPr>
      <w:rPr>
        <w:rFonts w:ascii="Symbol" w:eastAsia="Symbol" w:hAnsi="Symbol" w:hint="default"/>
        <w:b w:val="0"/>
        <w:i w:val="0"/>
        <w:strike w:val="0"/>
        <w:dstrike w:val="0"/>
        <w:color w:val="595959"/>
        <w:position w:val="0"/>
        <w:sz w:val="21"/>
        <w:u w:val="none"/>
        <w:effect w:val="none"/>
      </w:rPr>
    </w:lvl>
    <w:lvl w:ilvl="7">
      <w:start w:val="1"/>
      <w:numFmt w:val="bullet"/>
      <w:lvlText w:val=""/>
      <w:lvlJc w:val="left"/>
      <w:pPr>
        <w:tabs>
          <w:tab w:val="num" w:pos="1089"/>
        </w:tabs>
        <w:ind w:left="1089" w:hanging="363"/>
      </w:pPr>
      <w:rPr>
        <w:rFonts w:ascii="Symbol" w:eastAsia="Symbol" w:hAnsi="Symbol" w:hint="default"/>
        <w:b w:val="0"/>
        <w:i w:val="0"/>
        <w:strike w:val="0"/>
        <w:dstrike w:val="0"/>
        <w:color w:val="595959"/>
        <w:position w:val="0"/>
        <w:sz w:val="21"/>
        <w:u w:val="none"/>
        <w:effect w:val="none"/>
      </w:rPr>
    </w:lvl>
    <w:lvl w:ilvl="8">
      <w:start w:val="1"/>
      <w:numFmt w:val="bullet"/>
      <w:lvlText w:val=""/>
      <w:lvlJc w:val="left"/>
      <w:pPr>
        <w:tabs>
          <w:tab w:val="num" w:pos="3240"/>
        </w:tabs>
        <w:ind w:left="3240" w:hanging="360"/>
      </w:pPr>
    </w:lvl>
  </w:abstractNum>
  <w:abstractNum w:abstractNumId="16" w15:restartNumberingAfterBreak="0">
    <w:nsid w:val="6D7859D2"/>
    <w:multiLevelType w:val="multilevel"/>
    <w:tmpl w:val="37029038"/>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pStyle w:val="Puce1"/>
      <w:lvlText w:val=""/>
      <w:lvlJc w:val="left"/>
      <w:pPr>
        <w:tabs>
          <w:tab w:val="num" w:pos="726"/>
        </w:tabs>
        <w:ind w:left="726" w:hanging="363"/>
      </w:pPr>
      <w:rPr>
        <w:rFonts w:ascii="Symbol" w:eastAsia="Symbol" w:hAnsi="Symbol" w:hint="default"/>
        <w:b w:val="0"/>
        <w:i w:val="0"/>
        <w:strike w:val="0"/>
        <w:color w:val="595959"/>
        <w:position w:val="0"/>
        <w:sz w:val="21"/>
        <w:u w:val="none"/>
        <w:shd w:val="clear" w:color="auto" w:fill="auto"/>
      </w:r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7" w15:restartNumberingAfterBreak="0">
    <w:nsid w:val="7740214E"/>
    <w:multiLevelType w:val="multilevel"/>
    <w:tmpl w:val="AEAEF382"/>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1089"/>
        </w:tabs>
        <w:ind w:left="1089" w:hanging="363"/>
      </w:pPr>
      <w:rPr>
        <w:rFonts w:ascii="Symbol" w:eastAsia="Symbol" w:hAnsi="Symbol" w:hint="default"/>
        <w:b w:val="0"/>
        <w:i w:val="0"/>
        <w:strike w:val="0"/>
        <w:color w:val="595959"/>
        <w:position w:val="0"/>
        <w:sz w:val="21"/>
        <w:u w:val="none"/>
        <w:shd w:val="clear" w:color="auto" w:fill="auto"/>
      </w:rPr>
    </w:lvl>
    <w:lvl w:ilvl="8">
      <w:start w:val="1"/>
      <w:numFmt w:val="bullet"/>
      <w:lvlText w:val=""/>
      <w:lvlJc w:val="left"/>
      <w:pPr>
        <w:tabs>
          <w:tab w:val="num" w:pos="3240"/>
        </w:tabs>
        <w:ind w:left="3240" w:hanging="360"/>
      </w:pPr>
    </w:lvl>
  </w:abstractNum>
  <w:abstractNum w:abstractNumId="18" w15:restartNumberingAfterBreak="0">
    <w:nsid w:val="77A425DA"/>
    <w:multiLevelType w:val="hybridMultilevel"/>
    <w:tmpl w:val="AC0A9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8654D9"/>
    <w:multiLevelType w:val="multilevel"/>
    <w:tmpl w:val="ABFEDC22"/>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suff w:val="nothing"/>
      <w:lvlText w:val=""/>
      <w:lvlJc w:val="left"/>
      <w:rPr>
        <w:rFonts w:ascii="Symbol" w:eastAsia="Symbol" w:hAnsi="Symbol" w:hint="default"/>
        <w:b/>
        <w:i w:val="0"/>
        <w:strike w:val="0"/>
        <w:color w:val="577188"/>
        <w:position w:val="0"/>
        <w:sz w:val="2"/>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20" w15:restartNumberingAfterBreak="0">
    <w:nsid w:val="7B9A0456"/>
    <w:multiLevelType w:val="multilevel"/>
    <w:tmpl w:val="017E83B8"/>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pStyle w:val="PuceApplicationCasClient"/>
      <w:lvlText w:val=""/>
      <w:lvlJc w:val="left"/>
      <w:pPr>
        <w:tabs>
          <w:tab w:val="num" w:pos="363"/>
        </w:tabs>
        <w:ind w:left="363" w:hanging="363"/>
      </w:pPr>
      <w:rPr>
        <w:rFonts w:ascii="Symbol" w:eastAsia="Symbol" w:hAnsi="Symbol" w:hint="default"/>
        <w:b/>
        <w:i w:val="0"/>
        <w:strike w:val="0"/>
        <w:color w:val="1D3461"/>
        <w:position w:val="0"/>
        <w:sz w:val="21"/>
        <w:u w:val="none"/>
        <w:shd w:val="clear" w:color="auto" w:fill="auto"/>
      </w:r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21" w15:restartNumberingAfterBreak="0">
    <w:nsid w:val="7D4804EA"/>
    <w:multiLevelType w:val="multilevel"/>
    <w:tmpl w:val="777670CE"/>
    <w:lvl w:ilvl="0">
      <w:start w:val="1"/>
      <w:numFmt w:val="bullet"/>
      <w:lvlText w:val=""/>
      <w:lvlJc w:val="left"/>
      <w:pPr>
        <w:tabs>
          <w:tab w:val="num" w:pos="720"/>
        </w:tabs>
        <w:ind w:left="720" w:hanging="360"/>
      </w:pPr>
      <w:rPr>
        <w:rFonts w:ascii="Symbol" w:eastAsia="Symbol" w:hAnsi="Symbol" w:hint="default"/>
        <w:b w:val="0"/>
        <w:i w:val="0"/>
        <w:strike w:val="0"/>
        <w:color w:val="595959"/>
        <w:position w:val="0"/>
        <w:sz w:val="21"/>
        <w:u w:val="none"/>
        <w:shd w:val="clear" w:color="auto" w:fill="auto"/>
      </w:r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726"/>
        </w:tabs>
        <w:ind w:left="726" w:hanging="363"/>
      </w:pPr>
      <w:rPr>
        <w:rFonts w:ascii="Symbol" w:eastAsia="Symbol" w:hAnsi="Symbol" w:hint="default"/>
        <w:b/>
        <w:i w:val="0"/>
        <w:strike w:val="0"/>
        <w:color w:val="172A3A"/>
        <w:position w:val="0"/>
        <w:sz w:val="21"/>
        <w:u w:val="none"/>
        <w:shd w:val="clear" w:color="auto" w:fill="auto"/>
      </w:rPr>
    </w:lvl>
    <w:lvl w:ilvl="7">
      <w:start w:val="1"/>
      <w:numFmt w:val="bullet"/>
      <w:lvlText w:val=""/>
      <w:lvlJc w:val="left"/>
      <w:pPr>
        <w:tabs>
          <w:tab w:val="num" w:pos="1089"/>
        </w:tabs>
        <w:ind w:left="1089" w:hanging="363"/>
      </w:pPr>
      <w:rPr>
        <w:rFonts w:ascii="Symbol" w:eastAsia="Symbol" w:hAnsi="Symbol" w:hint="default"/>
        <w:b/>
        <w:i w:val="0"/>
        <w:strike w:val="0"/>
        <w:color w:val="172A3A"/>
        <w:position w:val="0"/>
        <w:sz w:val="21"/>
        <w:u w:val="none"/>
        <w:shd w:val="clear" w:color="auto" w:fill="auto"/>
      </w:rPr>
    </w:lvl>
    <w:lvl w:ilvl="8">
      <w:start w:val="1"/>
      <w:numFmt w:val="bullet"/>
      <w:lvlText w:val=""/>
      <w:lvlJc w:val="left"/>
      <w:pPr>
        <w:tabs>
          <w:tab w:val="num" w:pos="3240"/>
        </w:tabs>
        <w:ind w:left="3240" w:hanging="360"/>
      </w:pPr>
    </w:lvl>
  </w:abstractNum>
  <w:num w:numId="1" w16cid:durableId="245039989">
    <w:abstractNumId w:val="11"/>
  </w:num>
  <w:num w:numId="2" w16cid:durableId="1354068899">
    <w:abstractNumId w:val="2"/>
  </w:num>
  <w:num w:numId="3" w16cid:durableId="1240602940">
    <w:abstractNumId w:val="4"/>
  </w:num>
  <w:num w:numId="4" w16cid:durableId="1015111871">
    <w:abstractNumId w:val="9"/>
  </w:num>
  <w:num w:numId="5" w16cid:durableId="1077942249">
    <w:abstractNumId w:val="16"/>
  </w:num>
  <w:num w:numId="6" w16cid:durableId="1979921593">
    <w:abstractNumId w:val="5"/>
  </w:num>
  <w:num w:numId="7" w16cid:durableId="541673756">
    <w:abstractNumId w:val="20"/>
  </w:num>
  <w:num w:numId="8" w16cid:durableId="1895576853">
    <w:abstractNumId w:val="14"/>
  </w:num>
  <w:num w:numId="9" w16cid:durableId="1764105694">
    <w:abstractNumId w:val="3"/>
  </w:num>
  <w:num w:numId="10" w16cid:durableId="455948008">
    <w:abstractNumId w:val="8"/>
  </w:num>
  <w:num w:numId="11" w16cid:durableId="1158377008">
    <w:abstractNumId w:val="12"/>
  </w:num>
  <w:num w:numId="12" w16cid:durableId="95029082">
    <w:abstractNumId w:val="21"/>
  </w:num>
  <w:num w:numId="13" w16cid:durableId="1006128075">
    <w:abstractNumId w:val="4"/>
  </w:num>
  <w:num w:numId="14" w16cid:durableId="452670689">
    <w:abstractNumId w:val="2"/>
  </w:num>
  <w:num w:numId="15" w16cid:durableId="1680961625">
    <w:abstractNumId w:val="2"/>
  </w:num>
  <w:num w:numId="16" w16cid:durableId="1215704318">
    <w:abstractNumId w:val="2"/>
  </w:num>
  <w:num w:numId="17" w16cid:durableId="1079446174">
    <w:abstractNumId w:val="4"/>
  </w:num>
  <w:num w:numId="18" w16cid:durableId="385107570">
    <w:abstractNumId w:val="4"/>
  </w:num>
  <w:num w:numId="19" w16cid:durableId="1594126253">
    <w:abstractNumId w:val="4"/>
  </w:num>
  <w:num w:numId="20" w16cid:durableId="1962688579">
    <w:abstractNumId w:val="0"/>
  </w:num>
  <w:num w:numId="21" w16cid:durableId="1462773212">
    <w:abstractNumId w:val="1"/>
  </w:num>
  <w:num w:numId="22" w16cid:durableId="739598755">
    <w:abstractNumId w:val="4"/>
  </w:num>
  <w:num w:numId="23" w16cid:durableId="1524661976">
    <w:abstractNumId w:val="6"/>
  </w:num>
  <w:num w:numId="24" w16cid:durableId="2087650106">
    <w:abstractNumId w:val="7"/>
  </w:num>
  <w:num w:numId="25" w16cid:durableId="1856848103">
    <w:abstractNumId w:val="17"/>
  </w:num>
  <w:num w:numId="26" w16cid:durableId="2076977007">
    <w:abstractNumId w:val="19"/>
  </w:num>
  <w:num w:numId="27" w16cid:durableId="1610165279">
    <w:abstractNumId w:val="9"/>
  </w:num>
  <w:num w:numId="28" w16cid:durableId="853425163">
    <w:abstractNumId w:val="4"/>
  </w:num>
  <w:num w:numId="29" w16cid:durableId="1406101914">
    <w:abstractNumId w:val="4"/>
  </w:num>
  <w:num w:numId="30" w16cid:durableId="217472579">
    <w:abstractNumId w:val="9"/>
  </w:num>
  <w:num w:numId="31" w16cid:durableId="681248657">
    <w:abstractNumId w:val="9"/>
  </w:num>
  <w:num w:numId="32" w16cid:durableId="1180392588">
    <w:abstractNumId w:val="10"/>
  </w:num>
  <w:num w:numId="33" w16cid:durableId="483548030">
    <w:abstractNumId w:val="15"/>
  </w:num>
  <w:num w:numId="34" w16cid:durableId="1415013003">
    <w:abstractNumId w:val="3"/>
  </w:num>
  <w:num w:numId="35" w16cid:durableId="331033590">
    <w:abstractNumId w:val="9"/>
  </w:num>
  <w:num w:numId="36" w16cid:durableId="425735620">
    <w:abstractNumId w:val="9"/>
  </w:num>
  <w:num w:numId="37" w16cid:durableId="1325087473">
    <w:abstractNumId w:val="18"/>
  </w:num>
  <w:num w:numId="38" w16cid:durableId="158271882">
    <w:abstractNumId w:val="9"/>
  </w:num>
  <w:num w:numId="39" w16cid:durableId="1140994596">
    <w:abstractNumId w:val="13"/>
  </w:num>
  <w:num w:numId="40" w16cid:durableId="802582379">
    <w:abstractNumId w:val="4"/>
  </w:num>
  <w:num w:numId="41" w16cid:durableId="1868829527">
    <w:abstractNumId w:val="2"/>
  </w:num>
  <w:num w:numId="42" w16cid:durableId="2025670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rsids>
    <w:rsidRoot w:val="003C37A8"/>
    <w:rsid w:val="0001607B"/>
    <w:rsid w:val="000420F7"/>
    <w:rsid w:val="000516A4"/>
    <w:rsid w:val="00052A1D"/>
    <w:rsid w:val="00057D04"/>
    <w:rsid w:val="000611AC"/>
    <w:rsid w:val="00066916"/>
    <w:rsid w:val="00067EFD"/>
    <w:rsid w:val="0008046C"/>
    <w:rsid w:val="0008627D"/>
    <w:rsid w:val="00093343"/>
    <w:rsid w:val="0009554B"/>
    <w:rsid w:val="00095D20"/>
    <w:rsid w:val="000D1ECB"/>
    <w:rsid w:val="000D720E"/>
    <w:rsid w:val="000E1AF8"/>
    <w:rsid w:val="001244E1"/>
    <w:rsid w:val="00124683"/>
    <w:rsid w:val="00125F9D"/>
    <w:rsid w:val="00132B0B"/>
    <w:rsid w:val="00154E45"/>
    <w:rsid w:val="001706CC"/>
    <w:rsid w:val="001723F5"/>
    <w:rsid w:val="00190BCC"/>
    <w:rsid w:val="001D2DD1"/>
    <w:rsid w:val="001E014C"/>
    <w:rsid w:val="001F3446"/>
    <w:rsid w:val="00203517"/>
    <w:rsid w:val="0020604F"/>
    <w:rsid w:val="00206F99"/>
    <w:rsid w:val="00210A19"/>
    <w:rsid w:val="00244D11"/>
    <w:rsid w:val="002578D1"/>
    <w:rsid w:val="002647F8"/>
    <w:rsid w:val="00273F84"/>
    <w:rsid w:val="0028764A"/>
    <w:rsid w:val="00287AEA"/>
    <w:rsid w:val="00297F94"/>
    <w:rsid w:val="002D4E1A"/>
    <w:rsid w:val="002E24E0"/>
    <w:rsid w:val="002E4819"/>
    <w:rsid w:val="002E7577"/>
    <w:rsid w:val="0031018E"/>
    <w:rsid w:val="0031126A"/>
    <w:rsid w:val="0032539E"/>
    <w:rsid w:val="003516BD"/>
    <w:rsid w:val="00354F83"/>
    <w:rsid w:val="00385211"/>
    <w:rsid w:val="0039220F"/>
    <w:rsid w:val="00393746"/>
    <w:rsid w:val="003A054A"/>
    <w:rsid w:val="003A4B7B"/>
    <w:rsid w:val="003B3A77"/>
    <w:rsid w:val="003B63DC"/>
    <w:rsid w:val="003C37A8"/>
    <w:rsid w:val="003D132A"/>
    <w:rsid w:val="004033C6"/>
    <w:rsid w:val="00407912"/>
    <w:rsid w:val="0045391E"/>
    <w:rsid w:val="00492EF2"/>
    <w:rsid w:val="004A4A7C"/>
    <w:rsid w:val="004B6D2E"/>
    <w:rsid w:val="004C7ED1"/>
    <w:rsid w:val="004E6070"/>
    <w:rsid w:val="004F3BC7"/>
    <w:rsid w:val="004F7771"/>
    <w:rsid w:val="00511153"/>
    <w:rsid w:val="00532EF3"/>
    <w:rsid w:val="005345BD"/>
    <w:rsid w:val="00536D5D"/>
    <w:rsid w:val="0054396A"/>
    <w:rsid w:val="00544DEB"/>
    <w:rsid w:val="005521E0"/>
    <w:rsid w:val="00552814"/>
    <w:rsid w:val="005541A5"/>
    <w:rsid w:val="005716D0"/>
    <w:rsid w:val="005B27E8"/>
    <w:rsid w:val="005B3A1E"/>
    <w:rsid w:val="005C4C73"/>
    <w:rsid w:val="005D7732"/>
    <w:rsid w:val="005F06D2"/>
    <w:rsid w:val="005F5DB6"/>
    <w:rsid w:val="006247BC"/>
    <w:rsid w:val="00630EC4"/>
    <w:rsid w:val="006353E7"/>
    <w:rsid w:val="00640C6B"/>
    <w:rsid w:val="00642782"/>
    <w:rsid w:val="006475EF"/>
    <w:rsid w:val="00650537"/>
    <w:rsid w:val="0065479A"/>
    <w:rsid w:val="00660F6A"/>
    <w:rsid w:val="00681D54"/>
    <w:rsid w:val="00684A33"/>
    <w:rsid w:val="006A1B40"/>
    <w:rsid w:val="006B0889"/>
    <w:rsid w:val="006E4A16"/>
    <w:rsid w:val="006F1B0F"/>
    <w:rsid w:val="00700F24"/>
    <w:rsid w:val="0070171F"/>
    <w:rsid w:val="00710C58"/>
    <w:rsid w:val="00751D3A"/>
    <w:rsid w:val="007570DB"/>
    <w:rsid w:val="007645BF"/>
    <w:rsid w:val="007650D8"/>
    <w:rsid w:val="007727C3"/>
    <w:rsid w:val="008151BB"/>
    <w:rsid w:val="00876839"/>
    <w:rsid w:val="00884EF2"/>
    <w:rsid w:val="00893666"/>
    <w:rsid w:val="008A2633"/>
    <w:rsid w:val="008A75FE"/>
    <w:rsid w:val="008B2365"/>
    <w:rsid w:val="008E0366"/>
    <w:rsid w:val="008E6DF9"/>
    <w:rsid w:val="008F1489"/>
    <w:rsid w:val="008F4E68"/>
    <w:rsid w:val="009273F2"/>
    <w:rsid w:val="00942DD0"/>
    <w:rsid w:val="00945540"/>
    <w:rsid w:val="00985B32"/>
    <w:rsid w:val="00991B2B"/>
    <w:rsid w:val="009A273B"/>
    <w:rsid w:val="009B0E0C"/>
    <w:rsid w:val="009B658F"/>
    <w:rsid w:val="009C21D5"/>
    <w:rsid w:val="009C2DDD"/>
    <w:rsid w:val="009C74BA"/>
    <w:rsid w:val="00A00FA9"/>
    <w:rsid w:val="00A10FD3"/>
    <w:rsid w:val="00A15771"/>
    <w:rsid w:val="00A17E3A"/>
    <w:rsid w:val="00A3522B"/>
    <w:rsid w:val="00A4638A"/>
    <w:rsid w:val="00A8423D"/>
    <w:rsid w:val="00A84CB4"/>
    <w:rsid w:val="00AA7384"/>
    <w:rsid w:val="00AE4732"/>
    <w:rsid w:val="00AF360C"/>
    <w:rsid w:val="00B139CA"/>
    <w:rsid w:val="00B22AB7"/>
    <w:rsid w:val="00B31BAF"/>
    <w:rsid w:val="00B35EAB"/>
    <w:rsid w:val="00B40B8F"/>
    <w:rsid w:val="00B465A5"/>
    <w:rsid w:val="00B575AF"/>
    <w:rsid w:val="00B72B8B"/>
    <w:rsid w:val="00B86C2C"/>
    <w:rsid w:val="00B9132B"/>
    <w:rsid w:val="00B927B4"/>
    <w:rsid w:val="00BC4CFC"/>
    <w:rsid w:val="00BD07F1"/>
    <w:rsid w:val="00C14C10"/>
    <w:rsid w:val="00C25997"/>
    <w:rsid w:val="00C730E6"/>
    <w:rsid w:val="00C74C63"/>
    <w:rsid w:val="00C813E9"/>
    <w:rsid w:val="00CA5F47"/>
    <w:rsid w:val="00CB357B"/>
    <w:rsid w:val="00CE1FDA"/>
    <w:rsid w:val="00D272D7"/>
    <w:rsid w:val="00D2776C"/>
    <w:rsid w:val="00D479E1"/>
    <w:rsid w:val="00D570CE"/>
    <w:rsid w:val="00DC1047"/>
    <w:rsid w:val="00DD5987"/>
    <w:rsid w:val="00DD7530"/>
    <w:rsid w:val="00E00326"/>
    <w:rsid w:val="00E06A74"/>
    <w:rsid w:val="00E07864"/>
    <w:rsid w:val="00E26A19"/>
    <w:rsid w:val="00E33FB8"/>
    <w:rsid w:val="00E41CF5"/>
    <w:rsid w:val="00E64FE3"/>
    <w:rsid w:val="00E74EFF"/>
    <w:rsid w:val="00E92C6A"/>
    <w:rsid w:val="00EA0518"/>
    <w:rsid w:val="00EA0D3A"/>
    <w:rsid w:val="00EA279E"/>
    <w:rsid w:val="00ED3230"/>
    <w:rsid w:val="00ED6C02"/>
    <w:rsid w:val="00EE0E58"/>
    <w:rsid w:val="00F10EEB"/>
    <w:rsid w:val="00F210BA"/>
    <w:rsid w:val="00F23DBF"/>
    <w:rsid w:val="00F42A92"/>
    <w:rsid w:val="00F52D49"/>
    <w:rsid w:val="00F74A23"/>
    <w:rsid w:val="00F81E07"/>
    <w:rsid w:val="00F83402"/>
    <w:rsid w:val="00F83DB5"/>
    <w:rsid w:val="00F85C7B"/>
    <w:rsid w:val="00F978C2"/>
    <w:rsid w:val="00FB303B"/>
    <w:rsid w:val="00FD0D49"/>
    <w:rsid w:val="00FD3428"/>
    <w:rsid w:val="00FE0A83"/>
    <w:rsid w:val="00FF4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3D46"/>
  <w15:docId w15:val="{1F203D2D-636C-495C-B1E0-F251448A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rPr>
      <w:rFonts w:ascii="Calibri" w:eastAsia="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Police">
    <w:name w:val="Police"/>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rebuchet MS" w:eastAsia="Trebuchet MS" w:hAnsi="Trebuchet MS"/>
      <w:color w:val="595959"/>
      <w:sz w:val="21"/>
    </w:rPr>
  </w:style>
  <w:style w:type="paragraph" w:customStyle="1" w:styleId="TitreChapitre">
    <w:name w:val="TitreChapitre"/>
    <w:basedOn w:val="Police"/>
    <w:qFormat/>
    <w:pPr>
      <w:keepNext/>
      <w:pageBreakBefore/>
      <w:numPr>
        <w:numId w:val="1"/>
      </w:numPr>
      <w:spacing w:after="567"/>
    </w:pPr>
    <w:rPr>
      <w:b/>
      <w:color w:val="577188"/>
      <w:sz w:val="44"/>
    </w:rPr>
  </w:style>
  <w:style w:type="paragraph" w:customStyle="1" w:styleId="SousTitreChapitre">
    <w:name w:val="SousTitreChapitre"/>
    <w:basedOn w:val="Police"/>
    <w:qFormat/>
    <w:pPr>
      <w:keepNext/>
      <w:numPr>
        <w:ilvl w:val="1"/>
        <w:numId w:val="2"/>
      </w:numPr>
      <w:spacing w:before="340" w:after="227"/>
    </w:pPr>
    <w:rPr>
      <w:b/>
      <w:sz w:val="40"/>
    </w:rPr>
  </w:style>
  <w:style w:type="paragraph" w:customStyle="1" w:styleId="Intertitre1">
    <w:name w:val="Intertitre1"/>
    <w:basedOn w:val="Police"/>
    <w:qFormat/>
    <w:pPr>
      <w:keepNext/>
      <w:numPr>
        <w:ilvl w:val="2"/>
        <w:numId w:val="3"/>
      </w:numPr>
      <w:spacing w:before="374" w:after="62"/>
    </w:pPr>
    <w:rPr>
      <w:b/>
      <w:color w:val="577188"/>
      <w:sz w:val="28"/>
    </w:rPr>
  </w:style>
  <w:style w:type="paragraph" w:customStyle="1" w:styleId="Intertitre2">
    <w:name w:val="Intertitre2"/>
    <w:basedOn w:val="Police"/>
    <w:qFormat/>
    <w:pPr>
      <w:keepNext/>
      <w:numPr>
        <w:ilvl w:val="3"/>
        <w:numId w:val="4"/>
      </w:numPr>
      <w:spacing w:before="249" w:after="62"/>
    </w:pPr>
    <w:rPr>
      <w:b/>
      <w:color w:val="1D3461"/>
      <w:sz w:val="24"/>
    </w:rPr>
  </w:style>
  <w:style w:type="paragraph" w:customStyle="1" w:styleId="CorpsTexte">
    <w:name w:val="CorpsTexte"/>
    <w:basedOn w:val="Police"/>
    <w:qFormat/>
    <w:pPr>
      <w:spacing w:before="181" w:after="181" w:line="264" w:lineRule="auto"/>
      <w:jc w:val="both"/>
    </w:pPr>
  </w:style>
  <w:style w:type="paragraph" w:customStyle="1" w:styleId="Puce1">
    <w:name w:val="Puce1"/>
    <w:basedOn w:val="CorpsTexte"/>
    <w:qFormat/>
    <w:pPr>
      <w:numPr>
        <w:ilvl w:val="6"/>
        <w:numId w:val="5"/>
      </w:numPr>
      <w:tabs>
        <w:tab w:val="left" w:pos="726"/>
      </w:tabs>
      <w:spacing w:before="113" w:after="113"/>
    </w:pPr>
  </w:style>
  <w:style w:type="paragraph" w:customStyle="1" w:styleId="Puce2">
    <w:name w:val="Puce2"/>
    <w:basedOn w:val="CorpsTexte"/>
    <w:qFormat/>
    <w:pPr>
      <w:numPr>
        <w:ilvl w:val="7"/>
        <w:numId w:val="6"/>
      </w:numPr>
      <w:tabs>
        <w:tab w:val="left" w:pos="1089"/>
      </w:tabs>
      <w:spacing w:before="113" w:after="113"/>
    </w:pPr>
  </w:style>
  <w:style w:type="paragraph" w:customStyle="1" w:styleId="ApplicationCasClientTitre">
    <w:name w:val="ApplicationCasClientTitre"/>
    <w:basedOn w:val="CorpsTexte"/>
    <w:qFormat/>
    <w:pPr>
      <w:pBdr>
        <w:left w:val="single" w:sz="22" w:space="4" w:color="auto"/>
      </w:pBdr>
      <w:spacing w:before="317" w:after="159"/>
    </w:pPr>
    <w:rPr>
      <w:b/>
      <w:color w:val="1D3461"/>
      <w:u w:val="single"/>
    </w:rPr>
  </w:style>
  <w:style w:type="paragraph" w:customStyle="1" w:styleId="ApplicationCasClient">
    <w:name w:val="ApplicationCasClient"/>
    <w:basedOn w:val="CorpsTexte"/>
    <w:qFormat/>
    <w:pPr>
      <w:pBdr>
        <w:left w:val="single" w:sz="22" w:space="4" w:color="auto"/>
      </w:pBdr>
      <w:spacing w:before="159" w:after="159"/>
    </w:pPr>
    <w:rPr>
      <w:b/>
      <w:color w:val="1D3461"/>
    </w:rPr>
  </w:style>
  <w:style w:type="paragraph" w:customStyle="1" w:styleId="PuceApplicationCasClient">
    <w:name w:val="Puce_ApplicationCasClient"/>
    <w:basedOn w:val="ApplicationCasClient"/>
    <w:qFormat/>
    <w:pPr>
      <w:numPr>
        <w:ilvl w:val="6"/>
        <w:numId w:val="7"/>
      </w:numPr>
      <w:tabs>
        <w:tab w:val="left" w:pos="363"/>
        <w:tab w:val="left" w:pos="726"/>
      </w:tabs>
      <w:spacing w:before="57" w:after="57"/>
    </w:pPr>
  </w:style>
  <w:style w:type="paragraph" w:customStyle="1" w:styleId="RenvoiTableau">
    <w:name w:val="RenvoiTableau"/>
    <w:basedOn w:val="CorpsTexte"/>
    <w:uiPriority w:val="99"/>
    <w:qFormat/>
    <w:pPr>
      <w:spacing w:before="159"/>
    </w:pPr>
    <w:rPr>
      <w:i/>
      <w:sz w:val="18"/>
    </w:rPr>
  </w:style>
  <w:style w:type="paragraph" w:customStyle="1" w:styleId="Puce3">
    <w:name w:val="Puce3"/>
    <w:basedOn w:val="CorpsTexte"/>
    <w:qFormat/>
    <w:pPr>
      <w:numPr>
        <w:ilvl w:val="8"/>
        <w:numId w:val="8"/>
      </w:numPr>
      <w:tabs>
        <w:tab w:val="left" w:pos="1452"/>
      </w:tabs>
      <w:spacing w:before="113" w:after="113"/>
    </w:pPr>
  </w:style>
  <w:style w:type="paragraph" w:customStyle="1" w:styleId="TitreTableau">
    <w:name w:val="TitreTableau"/>
    <w:basedOn w:val="Police"/>
    <w:qFormat/>
    <w:pPr>
      <w:keepNext/>
      <w:spacing w:before="374" w:after="187"/>
    </w:pPr>
    <w:rPr>
      <w:b/>
      <w:color w:val="172A3A"/>
    </w:rPr>
  </w:style>
  <w:style w:type="paragraph" w:customStyle="1" w:styleId="Intertitre3">
    <w:name w:val="Intertitre3"/>
    <w:basedOn w:val="Police"/>
    <w:qFormat/>
    <w:pPr>
      <w:keepNext/>
      <w:numPr>
        <w:ilvl w:val="4"/>
        <w:numId w:val="9"/>
      </w:numPr>
      <w:spacing w:before="249" w:after="62"/>
    </w:pPr>
    <w:rPr>
      <w:color w:val="577188"/>
      <w:u w:val="single"/>
    </w:rPr>
  </w:style>
  <w:style w:type="paragraph" w:customStyle="1" w:styleId="TextePiedPage">
    <w:name w:val="TextePiedPage"/>
    <w:basedOn w:val="Police"/>
    <w:qFormat/>
    <w:pPr>
      <w:spacing w:line="288" w:lineRule="auto"/>
    </w:pPr>
    <w:rPr>
      <w:sz w:val="16"/>
    </w:rPr>
  </w:style>
  <w:style w:type="paragraph" w:customStyle="1" w:styleId="TitreEtude">
    <w:name w:val="TitreEtude"/>
    <w:basedOn w:val="Police"/>
    <w:qFormat/>
    <w:pPr>
      <w:spacing w:before="1134" w:after="1134"/>
      <w:ind w:left="57"/>
    </w:pPr>
    <w:rPr>
      <w:color w:val="FFFFFF"/>
      <w:sz w:val="84"/>
      <w:shd w:val="clear" w:color="auto" w:fill="7E97AD"/>
    </w:rPr>
  </w:style>
  <w:style w:type="paragraph" w:customStyle="1" w:styleId="SousTitreEtude">
    <w:name w:val="SousTitreEtude"/>
    <w:basedOn w:val="Police"/>
    <w:qFormat/>
    <w:pPr>
      <w:spacing w:before="850"/>
    </w:pPr>
    <w:rPr>
      <w:color w:val="7E97AD"/>
      <w:sz w:val="60"/>
    </w:rPr>
  </w:style>
  <w:style w:type="paragraph" w:customStyle="1" w:styleId="Sommaire">
    <w:name w:val="Sommaire"/>
    <w:basedOn w:val="Police"/>
    <w:next w:val="SommaireTitre1"/>
    <w:qFormat/>
    <w:pPr>
      <w:pageBreakBefore/>
      <w:spacing w:before="624" w:line="288" w:lineRule="auto"/>
      <w:jc w:val="both"/>
    </w:pPr>
    <w:rPr>
      <w:b/>
      <w:color w:val="577188"/>
      <w:sz w:val="50"/>
    </w:rPr>
  </w:style>
  <w:style w:type="paragraph" w:customStyle="1" w:styleId="SommaireTitre1">
    <w:name w:val="SommaireTitre1"/>
    <w:basedOn w:val="Police"/>
    <w:next w:val="SommaireTitre2"/>
    <w:qFormat/>
    <w:pPr>
      <w:spacing w:before="227" w:line="288" w:lineRule="auto"/>
      <w:jc w:val="both"/>
    </w:pPr>
    <w:rPr>
      <w:b/>
      <w:sz w:val="24"/>
    </w:rPr>
  </w:style>
  <w:style w:type="paragraph" w:customStyle="1" w:styleId="SommaireTitre2">
    <w:name w:val="SommaireTitre2"/>
    <w:basedOn w:val="Police"/>
    <w:qFormat/>
    <w:pPr>
      <w:spacing w:before="170" w:line="288" w:lineRule="auto"/>
      <w:ind w:left="283"/>
      <w:jc w:val="both"/>
    </w:pPr>
    <w:rPr>
      <w:color w:val="7E97AD"/>
    </w:rPr>
  </w:style>
  <w:style w:type="paragraph" w:customStyle="1" w:styleId="TableauLigneTitre">
    <w:name w:val="TableauLigneTitre"/>
    <w:basedOn w:val="Police"/>
    <w:qFormat/>
    <w:pPr>
      <w:spacing w:before="85" w:after="85"/>
      <w:jc w:val="center"/>
    </w:pPr>
    <w:rPr>
      <w:b/>
      <w:color w:val="FFFFFF"/>
      <w:sz w:val="19"/>
      <w:shd w:val="clear" w:color="auto" w:fill="577188"/>
    </w:rPr>
  </w:style>
  <w:style w:type="paragraph" w:customStyle="1" w:styleId="TableauTexteLibelleLigne">
    <w:name w:val="TableauTexteLibelleLigne"/>
    <w:basedOn w:val="Police"/>
    <w:qFormat/>
    <w:pPr>
      <w:spacing w:before="62" w:after="62"/>
    </w:pPr>
    <w:rPr>
      <w:color w:val="172A3A"/>
      <w:sz w:val="19"/>
    </w:rPr>
  </w:style>
  <w:style w:type="paragraph" w:customStyle="1" w:styleId="TableauTexteContenus">
    <w:name w:val="TableauTexteContenus"/>
    <w:basedOn w:val="Police"/>
    <w:qFormat/>
    <w:pPr>
      <w:jc w:val="center"/>
    </w:pPr>
    <w:rPr>
      <w:sz w:val="19"/>
    </w:rPr>
  </w:style>
  <w:style w:type="paragraph" w:customStyle="1" w:styleId="TableauTexteLibelleLigneSurFond">
    <w:name w:val="TableauTexteLibelleLigneSurFond"/>
    <w:basedOn w:val="Police"/>
    <w:qFormat/>
    <w:pPr>
      <w:spacing w:before="62" w:after="62"/>
    </w:pPr>
    <w:rPr>
      <w:b/>
      <w:sz w:val="19"/>
      <w:shd w:val="clear" w:color="auto" w:fill="ECEFF1"/>
    </w:rPr>
  </w:style>
  <w:style w:type="paragraph" w:customStyle="1" w:styleId="TitreGraphique">
    <w:name w:val="TitreGraphique"/>
    <w:basedOn w:val="Police"/>
    <w:qFormat/>
    <w:pPr>
      <w:keepNext/>
      <w:spacing w:before="374" w:after="187"/>
    </w:pPr>
    <w:rPr>
      <w:b/>
      <w:color w:val="172A3A"/>
    </w:rPr>
  </w:style>
  <w:style w:type="paragraph" w:customStyle="1" w:styleId="TableauLigneSousTitre">
    <w:name w:val="TableauLigneSousTitre"/>
    <w:basedOn w:val="Police"/>
    <w:qFormat/>
    <w:pPr>
      <w:spacing w:before="57" w:after="57"/>
      <w:jc w:val="center"/>
    </w:pPr>
    <w:rPr>
      <w:b/>
      <w:sz w:val="19"/>
      <w:shd w:val="clear" w:color="auto" w:fill="ECEFF1"/>
    </w:rPr>
  </w:style>
  <w:style w:type="paragraph" w:customStyle="1" w:styleId="TableauLigneSousTotal">
    <w:name w:val="TableauLigneSousTotal"/>
    <w:basedOn w:val="Police"/>
    <w:qFormat/>
    <w:pPr>
      <w:jc w:val="center"/>
    </w:pPr>
    <w:rPr>
      <w:i/>
      <w:color w:val="577188"/>
      <w:sz w:val="19"/>
    </w:rPr>
  </w:style>
  <w:style w:type="paragraph" w:customStyle="1" w:styleId="TableauLigneTotal">
    <w:name w:val="TableauLigneTotal"/>
    <w:basedOn w:val="Police"/>
    <w:qFormat/>
    <w:pPr>
      <w:spacing w:before="57" w:after="57"/>
      <w:jc w:val="center"/>
    </w:pPr>
    <w:rPr>
      <w:b/>
      <w:color w:val="FFFFFF"/>
      <w:sz w:val="19"/>
      <w:shd w:val="clear" w:color="auto" w:fill="7E97AD"/>
    </w:rPr>
  </w:style>
  <w:style w:type="paragraph" w:customStyle="1" w:styleId="Intertitre4">
    <w:name w:val="Intertitre4"/>
    <w:basedOn w:val="Police"/>
    <w:qFormat/>
    <w:pPr>
      <w:keepNext/>
      <w:numPr>
        <w:ilvl w:val="5"/>
        <w:numId w:val="10"/>
      </w:numPr>
      <w:tabs>
        <w:tab w:val="left" w:pos="363"/>
      </w:tabs>
      <w:spacing w:before="249" w:after="62"/>
    </w:pPr>
    <w:rPr>
      <w:color w:val="1D3461"/>
    </w:rPr>
  </w:style>
  <w:style w:type="paragraph" w:customStyle="1" w:styleId="TexteEntete">
    <w:name w:val="TexteEntete"/>
    <w:basedOn w:val="Police"/>
    <w:qFormat/>
    <w:pPr>
      <w:spacing w:line="288" w:lineRule="auto"/>
    </w:pPr>
    <w:rPr>
      <w:sz w:val="16"/>
    </w:rPr>
  </w:style>
  <w:style w:type="paragraph" w:customStyle="1" w:styleId="Numrodepage1">
    <w:name w:val="Numéro de page1"/>
    <w:basedOn w:val="Police"/>
    <w:qFormat/>
  </w:style>
  <w:style w:type="paragraph" w:styleId="Paragraphedeliste">
    <w:name w:val="List Paragraph"/>
    <w:basedOn w:val="Normal"/>
    <w:qFormat/>
    <w:pPr>
      <w:ind w:left="720"/>
    </w:pPr>
  </w:style>
  <w:style w:type="paragraph" w:styleId="En-tte">
    <w:name w:val="header"/>
    <w:basedOn w:val="Normal"/>
    <w:qFormat/>
    <w:pPr>
      <w:tabs>
        <w:tab w:val="center" w:pos="4536"/>
        <w:tab w:val="right" w:pos="9072"/>
      </w:tabs>
      <w:spacing w:after="0" w:line="240" w:lineRule="auto"/>
    </w:pPr>
  </w:style>
  <w:style w:type="paragraph" w:styleId="Pieddepage">
    <w:name w:val="footer"/>
    <w:basedOn w:val="Normal"/>
    <w:qFormat/>
    <w:pPr>
      <w:tabs>
        <w:tab w:val="center" w:pos="4536"/>
        <w:tab w:val="right" w:pos="9072"/>
      </w:tabs>
      <w:spacing w:after="0" w:line="240" w:lineRule="auto"/>
    </w:pPr>
  </w:style>
  <w:style w:type="character" w:customStyle="1" w:styleId="En-tteCar">
    <w:name w:val="En-tête Car"/>
    <w:basedOn w:val="Policepardfaut"/>
    <w:qFormat/>
    <w:rPr>
      <w:rFonts w:ascii="Calibri" w:eastAsia="Calibri" w:hAnsi="Calibri"/>
      <w:sz w:val="22"/>
    </w:rPr>
  </w:style>
  <w:style w:type="character" w:customStyle="1" w:styleId="PieddepageCar">
    <w:name w:val="Pied de page Car"/>
    <w:basedOn w:val="Policepardfaut"/>
    <w:qFormat/>
    <w:rPr>
      <w:rFonts w:ascii="Calibri" w:eastAsia="Calibri" w:hAnsi="Calibri"/>
      <w:sz w:val="22"/>
    </w:rPr>
  </w:style>
  <w:style w:type="character" w:customStyle="1" w:styleId="Accentuation1">
    <w:name w:val="Accentuation1"/>
    <w:qFormat/>
    <w:rPr>
      <w:b/>
      <w:color w:val="172A3A"/>
    </w:rPr>
  </w:style>
  <w:style w:type="paragraph" w:styleId="TM1">
    <w:name w:val="toc 1"/>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93" w:after="100" w:line="288" w:lineRule="auto"/>
      <w:ind w:right="1417"/>
      <w:jc w:val="both"/>
    </w:pPr>
    <w:rPr>
      <w:rFonts w:ascii="Trebuchet MS" w:eastAsia="Trebuchet MS" w:hAnsi="Trebuchet MS"/>
      <w:b/>
      <w:color w:val="595959"/>
      <w:sz w:val="26"/>
    </w:rPr>
  </w:style>
  <w:style w:type="paragraph" w:styleId="TM2">
    <w:name w:val="toc 2"/>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62" w:after="100" w:line="288" w:lineRule="auto"/>
      <w:ind w:right="1417"/>
      <w:jc w:val="both"/>
    </w:pPr>
    <w:rPr>
      <w:rFonts w:ascii="Trebuchet MS" w:eastAsia="Trebuchet MS" w:hAnsi="Trebuchet MS"/>
      <w:color w:val="7E97AD"/>
      <w:sz w:val="22"/>
    </w:rPr>
  </w:style>
  <w:style w:type="character" w:customStyle="1" w:styleId="Accentuation2">
    <w:name w:val="Accentuation2"/>
    <w:qFormat/>
    <w:rPr>
      <w:b/>
      <w:color w:val="577188"/>
      <w:u w:val="single"/>
    </w:rPr>
  </w:style>
  <w:style w:type="paragraph" w:styleId="NormalWeb">
    <w:name w:val="Normal (Web)"/>
    <w:basedOn w:val="Normal"/>
    <w:uiPriority w:val="99"/>
    <w:unhideWhenUsed/>
    <w:rsid w:val="004F7771"/>
    <w:pPr>
      <w:spacing w:before="100" w:beforeAutospacing="1" w:after="100" w:afterAutospacing="1" w:line="240" w:lineRule="auto"/>
    </w:pPr>
    <w:rPr>
      <w:rFonts w:ascii="Times New Roman" w:eastAsia="Times New Roman" w:hAnsi="Times New Roman"/>
      <w:sz w:val="24"/>
      <w:szCs w:val="24"/>
    </w:rPr>
  </w:style>
  <w:style w:type="character" w:styleId="Lienhypertexte">
    <w:name w:val="Hyperlink"/>
    <w:basedOn w:val="Policepardfaut"/>
    <w:uiPriority w:val="99"/>
    <w:unhideWhenUsed/>
    <w:rsid w:val="004F7771"/>
    <w:rPr>
      <w:color w:val="0000FF"/>
      <w:u w:val="single"/>
    </w:rPr>
  </w:style>
  <w:style w:type="character" w:customStyle="1" w:styleId="ctreference">
    <w:name w:val="ct_reference"/>
    <w:basedOn w:val="Policepardfaut"/>
    <w:rsid w:val="00FD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773">
      <w:bodyDiv w:val="1"/>
      <w:marLeft w:val="0"/>
      <w:marRight w:val="0"/>
      <w:marTop w:val="0"/>
      <w:marBottom w:val="0"/>
      <w:divBdr>
        <w:top w:val="none" w:sz="0" w:space="0" w:color="auto"/>
        <w:left w:val="none" w:sz="0" w:space="0" w:color="auto"/>
        <w:bottom w:val="none" w:sz="0" w:space="0" w:color="auto"/>
        <w:right w:val="none" w:sz="0" w:space="0" w:color="auto"/>
      </w:divBdr>
      <w:divsChild>
        <w:div w:id="912467745">
          <w:marLeft w:val="975"/>
          <w:marRight w:val="0"/>
          <w:marTop w:val="0"/>
          <w:marBottom w:val="0"/>
          <w:divBdr>
            <w:top w:val="none" w:sz="0" w:space="0" w:color="auto"/>
            <w:left w:val="none" w:sz="0" w:space="0" w:color="auto"/>
            <w:bottom w:val="none" w:sz="0" w:space="0" w:color="auto"/>
            <w:right w:val="none" w:sz="0" w:space="0" w:color="auto"/>
          </w:divBdr>
        </w:div>
        <w:div w:id="733047428">
          <w:marLeft w:val="975"/>
          <w:marRight w:val="0"/>
          <w:marTop w:val="0"/>
          <w:marBottom w:val="0"/>
          <w:divBdr>
            <w:top w:val="none" w:sz="0" w:space="0" w:color="auto"/>
            <w:left w:val="none" w:sz="0" w:space="0" w:color="auto"/>
            <w:bottom w:val="none" w:sz="0" w:space="0" w:color="auto"/>
            <w:right w:val="none" w:sz="0" w:space="0" w:color="auto"/>
          </w:divBdr>
        </w:div>
      </w:divsChild>
    </w:div>
    <w:div w:id="81075828">
      <w:bodyDiv w:val="1"/>
      <w:marLeft w:val="0"/>
      <w:marRight w:val="0"/>
      <w:marTop w:val="0"/>
      <w:marBottom w:val="0"/>
      <w:divBdr>
        <w:top w:val="none" w:sz="0" w:space="0" w:color="auto"/>
        <w:left w:val="none" w:sz="0" w:space="0" w:color="auto"/>
        <w:bottom w:val="none" w:sz="0" w:space="0" w:color="auto"/>
        <w:right w:val="none" w:sz="0" w:space="0" w:color="auto"/>
      </w:divBdr>
    </w:div>
    <w:div w:id="412974607">
      <w:bodyDiv w:val="1"/>
      <w:marLeft w:val="0"/>
      <w:marRight w:val="0"/>
      <w:marTop w:val="0"/>
      <w:marBottom w:val="0"/>
      <w:divBdr>
        <w:top w:val="none" w:sz="0" w:space="0" w:color="auto"/>
        <w:left w:val="none" w:sz="0" w:space="0" w:color="auto"/>
        <w:bottom w:val="none" w:sz="0" w:space="0" w:color="auto"/>
        <w:right w:val="none" w:sz="0" w:space="0" w:color="auto"/>
      </w:divBdr>
    </w:div>
    <w:div w:id="562830663">
      <w:bodyDiv w:val="1"/>
      <w:marLeft w:val="0"/>
      <w:marRight w:val="0"/>
      <w:marTop w:val="0"/>
      <w:marBottom w:val="0"/>
      <w:divBdr>
        <w:top w:val="none" w:sz="0" w:space="0" w:color="auto"/>
        <w:left w:val="none" w:sz="0" w:space="0" w:color="auto"/>
        <w:bottom w:val="none" w:sz="0" w:space="0" w:color="auto"/>
        <w:right w:val="none" w:sz="0" w:space="0" w:color="auto"/>
      </w:divBdr>
    </w:div>
    <w:div w:id="675616530">
      <w:bodyDiv w:val="1"/>
      <w:marLeft w:val="0"/>
      <w:marRight w:val="0"/>
      <w:marTop w:val="0"/>
      <w:marBottom w:val="0"/>
      <w:divBdr>
        <w:top w:val="none" w:sz="0" w:space="0" w:color="auto"/>
        <w:left w:val="none" w:sz="0" w:space="0" w:color="auto"/>
        <w:bottom w:val="none" w:sz="0" w:space="0" w:color="auto"/>
        <w:right w:val="none" w:sz="0" w:space="0" w:color="auto"/>
      </w:divBdr>
    </w:div>
    <w:div w:id="745151158">
      <w:bodyDiv w:val="1"/>
      <w:marLeft w:val="0"/>
      <w:marRight w:val="0"/>
      <w:marTop w:val="0"/>
      <w:marBottom w:val="0"/>
      <w:divBdr>
        <w:top w:val="none" w:sz="0" w:space="0" w:color="auto"/>
        <w:left w:val="none" w:sz="0" w:space="0" w:color="auto"/>
        <w:bottom w:val="none" w:sz="0" w:space="0" w:color="auto"/>
        <w:right w:val="none" w:sz="0" w:space="0" w:color="auto"/>
      </w:divBdr>
    </w:div>
    <w:div w:id="848954170">
      <w:bodyDiv w:val="1"/>
      <w:marLeft w:val="0"/>
      <w:marRight w:val="0"/>
      <w:marTop w:val="0"/>
      <w:marBottom w:val="0"/>
      <w:divBdr>
        <w:top w:val="none" w:sz="0" w:space="0" w:color="auto"/>
        <w:left w:val="none" w:sz="0" w:space="0" w:color="auto"/>
        <w:bottom w:val="none" w:sz="0" w:space="0" w:color="auto"/>
        <w:right w:val="none" w:sz="0" w:space="0" w:color="auto"/>
      </w:divBdr>
    </w:div>
    <w:div w:id="1100028034">
      <w:bodyDiv w:val="1"/>
      <w:marLeft w:val="0"/>
      <w:marRight w:val="0"/>
      <w:marTop w:val="0"/>
      <w:marBottom w:val="0"/>
      <w:divBdr>
        <w:top w:val="none" w:sz="0" w:space="0" w:color="auto"/>
        <w:left w:val="none" w:sz="0" w:space="0" w:color="auto"/>
        <w:bottom w:val="none" w:sz="0" w:space="0" w:color="auto"/>
        <w:right w:val="none" w:sz="0" w:space="0" w:color="auto"/>
      </w:divBdr>
    </w:div>
    <w:div w:id="1121656417">
      <w:bodyDiv w:val="1"/>
      <w:marLeft w:val="0"/>
      <w:marRight w:val="0"/>
      <w:marTop w:val="0"/>
      <w:marBottom w:val="0"/>
      <w:divBdr>
        <w:top w:val="none" w:sz="0" w:space="0" w:color="auto"/>
        <w:left w:val="none" w:sz="0" w:space="0" w:color="auto"/>
        <w:bottom w:val="none" w:sz="0" w:space="0" w:color="auto"/>
        <w:right w:val="none" w:sz="0" w:space="0" w:color="auto"/>
      </w:divBdr>
    </w:div>
    <w:div w:id="1200703762">
      <w:bodyDiv w:val="1"/>
      <w:marLeft w:val="0"/>
      <w:marRight w:val="0"/>
      <w:marTop w:val="0"/>
      <w:marBottom w:val="0"/>
      <w:divBdr>
        <w:top w:val="none" w:sz="0" w:space="0" w:color="auto"/>
        <w:left w:val="none" w:sz="0" w:space="0" w:color="auto"/>
        <w:bottom w:val="none" w:sz="0" w:space="0" w:color="auto"/>
        <w:right w:val="none" w:sz="0" w:space="0" w:color="auto"/>
      </w:divBdr>
    </w:div>
    <w:div w:id="1359694262">
      <w:bodyDiv w:val="1"/>
      <w:marLeft w:val="0"/>
      <w:marRight w:val="0"/>
      <w:marTop w:val="0"/>
      <w:marBottom w:val="0"/>
      <w:divBdr>
        <w:top w:val="none" w:sz="0" w:space="0" w:color="auto"/>
        <w:left w:val="none" w:sz="0" w:space="0" w:color="auto"/>
        <w:bottom w:val="none" w:sz="0" w:space="0" w:color="auto"/>
        <w:right w:val="none" w:sz="0" w:space="0" w:color="auto"/>
      </w:divBdr>
      <w:divsChild>
        <w:div w:id="1518808490">
          <w:marLeft w:val="0"/>
          <w:marRight w:val="0"/>
          <w:marTop w:val="0"/>
          <w:marBottom w:val="0"/>
          <w:divBdr>
            <w:top w:val="none" w:sz="0" w:space="0" w:color="auto"/>
            <w:left w:val="none" w:sz="0" w:space="0" w:color="auto"/>
            <w:bottom w:val="none" w:sz="0" w:space="0" w:color="auto"/>
            <w:right w:val="none" w:sz="0" w:space="0" w:color="auto"/>
          </w:divBdr>
        </w:div>
        <w:div w:id="1760783693">
          <w:marLeft w:val="0"/>
          <w:marRight w:val="0"/>
          <w:marTop w:val="0"/>
          <w:marBottom w:val="0"/>
          <w:divBdr>
            <w:top w:val="none" w:sz="0" w:space="0" w:color="auto"/>
            <w:left w:val="none" w:sz="0" w:space="0" w:color="auto"/>
            <w:bottom w:val="none" w:sz="0" w:space="0" w:color="auto"/>
            <w:right w:val="none" w:sz="0" w:space="0" w:color="auto"/>
          </w:divBdr>
        </w:div>
        <w:div w:id="1080828319">
          <w:marLeft w:val="0"/>
          <w:marRight w:val="0"/>
          <w:marTop w:val="0"/>
          <w:marBottom w:val="0"/>
          <w:divBdr>
            <w:top w:val="none" w:sz="0" w:space="0" w:color="auto"/>
            <w:left w:val="none" w:sz="0" w:space="0" w:color="auto"/>
            <w:bottom w:val="none" w:sz="0" w:space="0" w:color="auto"/>
            <w:right w:val="none" w:sz="0" w:space="0" w:color="auto"/>
          </w:divBdr>
        </w:div>
      </w:divsChild>
    </w:div>
    <w:div w:id="1728799393">
      <w:bodyDiv w:val="1"/>
      <w:marLeft w:val="0"/>
      <w:marRight w:val="0"/>
      <w:marTop w:val="0"/>
      <w:marBottom w:val="0"/>
      <w:divBdr>
        <w:top w:val="none" w:sz="0" w:space="0" w:color="auto"/>
        <w:left w:val="none" w:sz="0" w:space="0" w:color="auto"/>
        <w:bottom w:val="none" w:sz="0" w:space="0" w:color="auto"/>
        <w:right w:val="none" w:sz="0" w:space="0" w:color="auto"/>
      </w:divBdr>
    </w:div>
    <w:div w:id="1865559182">
      <w:bodyDiv w:val="1"/>
      <w:marLeft w:val="0"/>
      <w:marRight w:val="0"/>
      <w:marTop w:val="0"/>
      <w:marBottom w:val="0"/>
      <w:divBdr>
        <w:top w:val="none" w:sz="0" w:space="0" w:color="auto"/>
        <w:left w:val="none" w:sz="0" w:space="0" w:color="auto"/>
        <w:bottom w:val="none" w:sz="0" w:space="0" w:color="auto"/>
        <w:right w:val="none" w:sz="0" w:space="0" w:color="auto"/>
      </w:divBdr>
    </w:div>
    <w:div w:id="1869874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1477</Words>
  <Characters>8127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9585</CharactersWithSpaces>
  <SharedDoc>false</SharedDoc>
  <HyperlinkBase>C:\USER_APPS\Systerial - demo\tmp\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Chloé</dc:creator>
  <cp:lastModifiedBy>Pierre Louis MERLE</cp:lastModifiedBy>
  <cp:revision>62</cp:revision>
  <dcterms:created xsi:type="dcterms:W3CDTF">2022-01-10T19:09:00Z</dcterms:created>
  <dcterms:modified xsi:type="dcterms:W3CDTF">2023-01-23T10:03:00Z</dcterms:modified>
</cp:coreProperties>
</file>